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A031" w14:textId="77777777" w:rsidR="00934BFC" w:rsidRPr="00D75D70" w:rsidRDefault="00934BFC" w:rsidP="00934BFC">
      <w:pPr>
        <w:rPr>
          <w:sz w:val="24"/>
          <w:szCs w:val="24"/>
        </w:rPr>
      </w:pPr>
    </w:p>
    <w:p w14:paraId="3F89443A" w14:textId="77777777" w:rsidR="00934BFC" w:rsidRPr="00D75D70" w:rsidRDefault="00934BFC" w:rsidP="00934BFC">
      <w:pPr>
        <w:rPr>
          <w:sz w:val="24"/>
          <w:szCs w:val="24"/>
        </w:rPr>
        <w:sectPr w:rsidR="00934BFC" w:rsidRPr="00D75D70" w:rsidSect="00535F4E">
          <w:headerReference w:type="default" r:id="rId9"/>
          <w:footerReference w:type="default" r:id="rId10"/>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lastRenderedPageBreak/>
        <w:t>DEBT MARKETS</w:t>
      </w:r>
    </w:p>
    <w:p w14:paraId="1C0BB037" w14:textId="5A3F7A54" w:rsidR="00535F4E" w:rsidRDefault="005E469D" w:rsidP="003B3A52">
      <w:pPr>
        <w:spacing w:line="240" w:lineRule="auto"/>
        <w:contextualSpacing/>
        <w:jc w:val="center"/>
        <w:rPr>
          <w:b/>
          <w:sz w:val="24"/>
          <w:szCs w:val="24"/>
        </w:rPr>
      </w:pPr>
      <w:r>
        <w:rPr>
          <w:b/>
          <w:sz w:val="24"/>
          <w:szCs w:val="24"/>
        </w:rPr>
        <w:t>SPRING 2016</w:t>
      </w:r>
    </w:p>
    <w:p w14:paraId="00AD06C4" w14:textId="0C06A67C" w:rsidR="0091437D" w:rsidRDefault="00865C0B" w:rsidP="003B3A52">
      <w:pPr>
        <w:spacing w:line="240" w:lineRule="auto"/>
        <w:contextualSpacing/>
        <w:jc w:val="center"/>
        <w:rPr>
          <w:b/>
          <w:sz w:val="24"/>
          <w:szCs w:val="24"/>
        </w:rPr>
      </w:pPr>
      <w:r>
        <w:rPr>
          <w:b/>
          <w:sz w:val="24"/>
          <w:szCs w:val="24"/>
        </w:rPr>
        <w:t>9.00 TO 10.30</w:t>
      </w:r>
    </w:p>
    <w:p w14:paraId="5960CB86" w14:textId="7B50B2AA" w:rsidR="0037125A" w:rsidRDefault="005E469D" w:rsidP="003B3A52">
      <w:pPr>
        <w:spacing w:line="240" w:lineRule="auto"/>
        <w:contextualSpacing/>
        <w:jc w:val="center"/>
        <w:rPr>
          <w:b/>
          <w:sz w:val="24"/>
          <w:szCs w:val="24"/>
        </w:rPr>
      </w:pPr>
      <w:r>
        <w:rPr>
          <w:b/>
          <w:sz w:val="24"/>
          <w:szCs w:val="24"/>
        </w:rPr>
        <w:t>332</w:t>
      </w:r>
      <w:r w:rsidR="0037125A">
        <w:rPr>
          <w:b/>
          <w:sz w:val="24"/>
          <w:szCs w:val="24"/>
        </w:rPr>
        <w:t xml:space="preserve"> URIS HALL </w:t>
      </w:r>
    </w:p>
    <w:p w14:paraId="5A1193AF" w14:textId="716C176F" w:rsidR="0037125A" w:rsidRPr="00D75D70" w:rsidRDefault="0037125A" w:rsidP="0037125A">
      <w:pPr>
        <w:spacing w:line="240" w:lineRule="auto"/>
        <w:contextualSpacing/>
        <w:jc w:val="center"/>
        <w:rPr>
          <w:b/>
          <w:sz w:val="24"/>
          <w:szCs w:val="24"/>
        </w:rPr>
      </w:pPr>
      <w:r>
        <w:rPr>
          <w:b/>
          <w:sz w:val="24"/>
          <w:szCs w:val="24"/>
        </w:rPr>
        <w:t>(MONDAYS AND WEDNESDAYS)</w:t>
      </w:r>
    </w:p>
    <w:p w14:paraId="0773DF83" w14:textId="77777777" w:rsidR="003B3A52" w:rsidRPr="00D75D70" w:rsidRDefault="003B3A52" w:rsidP="003B3A52">
      <w:pPr>
        <w:spacing w:line="240" w:lineRule="auto"/>
        <w:contextualSpacing/>
        <w:jc w:val="center"/>
        <w:rPr>
          <w:b/>
          <w:sz w:val="24"/>
          <w:szCs w:val="24"/>
        </w:rPr>
      </w:pPr>
    </w:p>
    <w:p w14:paraId="03525A8B" w14:textId="5D150972" w:rsidR="00934BFC" w:rsidRPr="00D75D70" w:rsidRDefault="0037125A" w:rsidP="003B3A52">
      <w:pPr>
        <w:spacing w:line="240" w:lineRule="auto"/>
        <w:contextualSpacing/>
        <w:rPr>
          <w:sz w:val="24"/>
          <w:szCs w:val="24"/>
        </w:rPr>
      </w:pPr>
      <w:r>
        <w:rPr>
          <w:sz w:val="24"/>
          <w:szCs w:val="24"/>
        </w:rPr>
        <w:t>INSTRUCTOR</w:t>
      </w:r>
      <w:r w:rsidR="001836B1" w:rsidRPr="00D75D70">
        <w:rPr>
          <w:sz w:val="24"/>
          <w:szCs w:val="24"/>
        </w:rPr>
        <w:t>: Suresh Sundaresan</w:t>
      </w:r>
    </w:p>
    <w:p w14:paraId="09683195" w14:textId="0B18475D" w:rsidR="00934BFC" w:rsidRPr="00D75D70" w:rsidRDefault="00934BFC" w:rsidP="003B3A52">
      <w:pPr>
        <w:spacing w:line="240" w:lineRule="auto"/>
        <w:contextualSpacing/>
        <w:rPr>
          <w:sz w:val="24"/>
          <w:szCs w:val="24"/>
        </w:rPr>
      </w:pPr>
      <w:r w:rsidRPr="00D75D70">
        <w:rPr>
          <w:sz w:val="24"/>
          <w:szCs w:val="24"/>
        </w:rPr>
        <w:t>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683A474C" w14:textId="46F3A5DC"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r w:rsidRPr="00D75D70">
        <w:rPr>
          <w:sz w:val="24"/>
          <w:szCs w:val="24"/>
        </w:rPr>
        <w:t>Office Hours:</w:t>
      </w:r>
      <w:r w:rsidRPr="00D75D70">
        <w:rPr>
          <w:sz w:val="24"/>
          <w:szCs w:val="24"/>
        </w:rPr>
        <w:tab/>
      </w:r>
      <w:r w:rsidR="0037125A">
        <w:rPr>
          <w:sz w:val="24"/>
          <w:szCs w:val="24"/>
        </w:rPr>
        <w:t>Mondays 3.00 to 4</w:t>
      </w:r>
      <w:r w:rsidR="001836B1" w:rsidRPr="00D75D70">
        <w:rPr>
          <w:sz w:val="24"/>
          <w:szCs w:val="24"/>
        </w:rPr>
        <w:t>.00</w:t>
      </w:r>
      <w:r w:rsidR="0037125A">
        <w:rPr>
          <w:sz w:val="24"/>
          <w:szCs w:val="24"/>
        </w:rPr>
        <w:t xml:space="preserve"> </w:t>
      </w:r>
    </w:p>
    <w:p w14:paraId="645FF055" w14:textId="3BE90DC6" w:rsidR="00535F4E" w:rsidRPr="00D75D70" w:rsidRDefault="005E469D" w:rsidP="00C23435">
      <w:pPr>
        <w:spacing w:line="240" w:lineRule="auto"/>
        <w:contextualSpacing/>
        <w:rPr>
          <w:sz w:val="24"/>
          <w:szCs w:val="24"/>
        </w:rPr>
        <w:sectPr w:rsidR="00535F4E" w:rsidRPr="00D75D70" w:rsidSect="00535F4E">
          <w:type w:val="continuous"/>
          <w:pgSz w:w="12240" w:h="15840"/>
          <w:pgMar w:top="1440" w:right="720" w:bottom="1440" w:left="720" w:header="720" w:footer="720" w:gutter="0"/>
          <w:cols w:space="720"/>
          <w:docGrid w:linePitch="360"/>
        </w:sectPr>
      </w:pPr>
      <w:r>
        <w:rPr>
          <w:sz w:val="24"/>
          <w:szCs w:val="24"/>
        </w:rPr>
        <w:lastRenderedPageBreak/>
        <w:t>TEACHING ASSISTANT: TBA</w:t>
      </w:r>
    </w:p>
    <w:p w14:paraId="4F93CCC9" w14:textId="77777777" w:rsidR="00934BFC" w:rsidRPr="00D75D70" w:rsidRDefault="00934BFC" w:rsidP="00934BFC">
      <w:pPr>
        <w:rPr>
          <w:sz w:val="24"/>
          <w:szCs w:val="24"/>
        </w:rPr>
      </w:pPr>
      <w:r w:rsidRPr="00D75D70">
        <w:rPr>
          <w:noProof/>
          <w:sz w:val="24"/>
          <w:szCs w:val="24"/>
        </w:rPr>
        <w:lastRenderedPageBreak/>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424280A" w14:textId="41154611" w:rsidR="00934BFC" w:rsidRPr="00D75D70" w:rsidRDefault="005E469D" w:rsidP="00934BFC">
      <w:pPr>
        <w:rPr>
          <w:b/>
          <w:sz w:val="24"/>
          <w:szCs w:val="24"/>
        </w:rPr>
      </w:pPr>
      <w:r>
        <w:rPr>
          <w:b/>
          <w:sz w:val="24"/>
          <w:szCs w:val="24"/>
        </w:rPr>
        <w:t>REQUIRED</w:t>
      </w:r>
      <w:r w:rsidR="00934BFC" w:rsidRPr="00D75D70">
        <w:rPr>
          <w:b/>
          <w:sz w:val="24"/>
          <w:szCs w:val="24"/>
        </w:rPr>
        <w:t xml:space="preserve"> COURSE MATERIAL</w:t>
      </w:r>
    </w:p>
    <w:p w14:paraId="64A6A3CC" w14:textId="49B54615" w:rsidR="00C23435" w:rsidRPr="005E469D" w:rsidRDefault="005E469D" w:rsidP="005E469D">
      <w:pPr>
        <w:pStyle w:val="ListParagraph"/>
        <w:numPr>
          <w:ilvl w:val="0"/>
          <w:numId w:val="10"/>
        </w:numPr>
        <w:rPr>
          <w:b/>
          <w:sz w:val="24"/>
          <w:szCs w:val="24"/>
        </w:rPr>
      </w:pPr>
      <w:r w:rsidRPr="00D75D70">
        <w:rPr>
          <w:sz w:val="24"/>
          <w:szCs w:val="24"/>
        </w:rPr>
        <w:t>Copies of slides</w:t>
      </w:r>
      <w:r>
        <w:rPr>
          <w:sz w:val="24"/>
          <w:szCs w:val="24"/>
        </w:rPr>
        <w:t>/course readings/articles</w:t>
      </w:r>
      <w:r w:rsidRPr="00D75D70">
        <w:rPr>
          <w:sz w:val="24"/>
          <w:szCs w:val="24"/>
        </w:rPr>
        <w:t xml:space="preserve"> that will be distributed in class and posted in Canvas.</w:t>
      </w:r>
    </w:p>
    <w:p w14:paraId="49A4BF41" w14:textId="4A4E7A5B" w:rsidR="005E469D" w:rsidRPr="00D75D70" w:rsidRDefault="005E469D" w:rsidP="005E469D">
      <w:pPr>
        <w:rPr>
          <w:b/>
          <w:sz w:val="24"/>
          <w:szCs w:val="24"/>
        </w:rPr>
      </w:pPr>
      <w:r w:rsidRPr="005E469D">
        <w:rPr>
          <w:b/>
          <w:sz w:val="24"/>
          <w:szCs w:val="24"/>
        </w:rPr>
        <w:t>RECOMMENDED COURSE MATERIAL</w:t>
      </w:r>
    </w:p>
    <w:p w14:paraId="67D42F57" w14:textId="73A7D303" w:rsidR="005E469D" w:rsidRPr="00C23435" w:rsidRDefault="005E469D" w:rsidP="00934BFC">
      <w:pPr>
        <w:pStyle w:val="ListParagraph"/>
        <w:numPr>
          <w:ilvl w:val="0"/>
          <w:numId w:val="10"/>
        </w:numPr>
        <w:rPr>
          <w:b/>
          <w:sz w:val="24"/>
          <w:szCs w:val="24"/>
        </w:rPr>
      </w:pPr>
      <w:r w:rsidRPr="00D75D70">
        <w:rPr>
          <w:sz w:val="24"/>
          <w:szCs w:val="24"/>
        </w:rPr>
        <w:t xml:space="preserve"> “Fixed-Income Markets and Their Derivatives”, Academic press, Third Edition, by Suresh Sundaresan.</w:t>
      </w: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45B1676D" w:rsidR="00573C56" w:rsidRPr="00D75D70" w:rsidRDefault="00573C56" w:rsidP="00573C56">
      <w:pPr>
        <w:rPr>
          <w:sz w:val="24"/>
          <w:szCs w:val="24"/>
        </w:rPr>
      </w:pPr>
      <w:r w:rsidRPr="00D75D70">
        <w:rPr>
          <w:sz w:val="24"/>
          <w:szCs w:val="24"/>
        </w:rPr>
        <w:t>The learning in this course will utilize, build on and extend concept</w:t>
      </w:r>
      <w:r w:rsidR="00CB7EE6">
        <w:rPr>
          <w:sz w:val="24"/>
          <w:szCs w:val="24"/>
        </w:rPr>
        <w:t xml:space="preserve">s covered in the following </w:t>
      </w:r>
      <w:r w:rsidRPr="00D75D70">
        <w:rPr>
          <w:sz w:val="24"/>
          <w:szCs w:val="24"/>
        </w:rPr>
        <w:t>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42A01C70" w:rsidR="00573C56" w:rsidRPr="00D75D70" w:rsidRDefault="00CB7EE6" w:rsidP="003B3A52">
            <w:pPr>
              <w:rPr>
                <w:sz w:val="24"/>
                <w:szCs w:val="24"/>
              </w:rPr>
            </w:pPr>
            <w:r>
              <w:rPr>
                <w:sz w:val="24"/>
                <w:szCs w:val="24"/>
              </w:rPr>
              <w:t>Capital Markets</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2BD70A72" w:rsidR="00D43040" w:rsidRPr="00D75D70" w:rsidRDefault="00D43040" w:rsidP="00D43040">
      <w:pPr>
        <w:rPr>
          <w:sz w:val="24"/>
          <w:szCs w:val="24"/>
        </w:rPr>
      </w:pPr>
      <w:r w:rsidRPr="00D75D70">
        <w:rPr>
          <w:sz w:val="24"/>
          <w:szCs w:val="24"/>
        </w:rPr>
        <w:t>The course will de</w:t>
      </w:r>
      <w:r w:rsidR="005E469D">
        <w:rPr>
          <w:sz w:val="24"/>
          <w:szCs w:val="24"/>
        </w:rPr>
        <w:t>scribe the major players in Debt Capital Markets</w:t>
      </w:r>
      <w:r w:rsidRPr="00D75D70">
        <w:rPr>
          <w:sz w:val="24"/>
          <w:szCs w:val="24"/>
        </w:rPr>
        <w:t>, key institutions, broad empirical regularities, and analytical tools that are used for pricing and risk management.  Some parts of the course will be analytical while others will be largely institutional. Each session will be organized aroun</w:t>
      </w:r>
      <w:r w:rsidR="005E469D">
        <w:rPr>
          <w:sz w:val="24"/>
          <w:szCs w:val="24"/>
        </w:rPr>
        <w:t>d one or two key topics</w:t>
      </w:r>
      <w:r w:rsidRPr="00D75D70">
        <w:rPr>
          <w:sz w:val="24"/>
          <w:szCs w:val="24"/>
        </w:rPr>
        <w:t>.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46AE70D0"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 xml:space="preserve">United States Treasury, Federal Reserve Banks, Primary Dealers, Inter-Dealer Brokers (IDB), </w:t>
      </w:r>
      <w:r w:rsidR="005E469D">
        <w:rPr>
          <w:sz w:val="24"/>
          <w:szCs w:val="24"/>
        </w:rPr>
        <w:t xml:space="preserve">Banks, </w:t>
      </w:r>
      <w:r w:rsidRPr="00D75D70">
        <w:rPr>
          <w:sz w:val="24"/>
          <w:szCs w:val="24"/>
        </w:rPr>
        <w:t>Rating agen</w:t>
      </w:r>
      <w:r w:rsidR="005E469D">
        <w:rPr>
          <w:sz w:val="24"/>
          <w:szCs w:val="24"/>
        </w:rPr>
        <w:t>cies, and Buy-side institutions [Pension funds/sponsors, Insurance companies].</w:t>
      </w:r>
    </w:p>
    <w:p w14:paraId="322B38E9" w14:textId="77777777" w:rsidR="00E32A45" w:rsidRPr="00D75D70" w:rsidRDefault="00E32A45" w:rsidP="00E32A45">
      <w:pPr>
        <w:pStyle w:val="ListParagraph"/>
        <w:spacing w:line="240" w:lineRule="auto"/>
        <w:rPr>
          <w:sz w:val="24"/>
          <w:szCs w:val="24"/>
        </w:rPr>
      </w:pPr>
    </w:p>
    <w:p w14:paraId="3F3322C7" w14:textId="52EF6022"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002060D3">
        <w:rPr>
          <w:b/>
          <w:bCs/>
          <w:sz w:val="24"/>
          <w:szCs w:val="24"/>
        </w:rPr>
        <w:t>/SOVEREIGN DEBT</w:t>
      </w:r>
      <w:r w:rsidRPr="00D75D70">
        <w:rPr>
          <w:b/>
          <w:bCs/>
          <w:sz w:val="24"/>
          <w:szCs w:val="24"/>
        </w:rPr>
        <w:t>:</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13CC56F8" w14:textId="7909BC48" w:rsidR="0091437D" w:rsidRPr="00D75D70" w:rsidRDefault="0091437D" w:rsidP="003B3A52">
      <w:pPr>
        <w:pStyle w:val="ListParagraph"/>
        <w:numPr>
          <w:ilvl w:val="0"/>
          <w:numId w:val="11"/>
        </w:numPr>
        <w:spacing w:line="240" w:lineRule="auto"/>
        <w:rPr>
          <w:sz w:val="24"/>
          <w:szCs w:val="24"/>
        </w:rPr>
      </w:pPr>
      <w:r>
        <w:rPr>
          <w:b/>
          <w:bCs/>
          <w:sz w:val="24"/>
          <w:szCs w:val="24"/>
        </w:rPr>
        <w:t>Corporations:</w:t>
      </w:r>
      <w:r>
        <w:rPr>
          <w:sz w:val="24"/>
          <w:szCs w:val="24"/>
        </w:rPr>
        <w:t xml:space="preserve"> Borrowing strategies: short-term debt such as commercial paper, medium term notes, etc. Long-term debt. Design of corporate debt – </w:t>
      </w:r>
      <w:proofErr w:type="spellStart"/>
      <w:r>
        <w:rPr>
          <w:sz w:val="24"/>
          <w:szCs w:val="24"/>
        </w:rPr>
        <w:t>callability</w:t>
      </w:r>
      <w:proofErr w:type="spellEnd"/>
      <w:r>
        <w:rPr>
          <w:sz w:val="24"/>
          <w:szCs w:val="24"/>
        </w:rPr>
        <w:t>, convertibility, ability of investors to put, etc.</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A0F5C"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54564D3C" w14:textId="41041F51" w:rsidR="00DA0F5C" w:rsidRPr="00D75D70" w:rsidRDefault="00DA0F5C" w:rsidP="003B3A52">
      <w:pPr>
        <w:pStyle w:val="ListParagraph"/>
        <w:numPr>
          <w:ilvl w:val="0"/>
          <w:numId w:val="11"/>
        </w:numPr>
        <w:spacing w:line="240" w:lineRule="auto"/>
        <w:rPr>
          <w:b/>
          <w:sz w:val="24"/>
          <w:szCs w:val="24"/>
        </w:rPr>
      </w:pPr>
      <w:r>
        <w:rPr>
          <w:b/>
          <w:bCs/>
          <w:sz w:val="24"/>
          <w:szCs w:val="24"/>
        </w:rPr>
        <w:t>Banks:</w:t>
      </w:r>
      <w:r>
        <w:rPr>
          <w:b/>
          <w:sz w:val="24"/>
          <w:szCs w:val="24"/>
        </w:rPr>
        <w:t xml:space="preserve"> </w:t>
      </w:r>
      <w:r>
        <w:rPr>
          <w:sz w:val="24"/>
          <w:szCs w:val="24"/>
        </w:rPr>
        <w:t>What is unique about banks? Bank capital requirements. Basel III norms – capital and liquidity st</w:t>
      </w:r>
      <w:r w:rsidR="007165E8">
        <w:rPr>
          <w:sz w:val="24"/>
          <w:szCs w:val="24"/>
        </w:rPr>
        <w:t>andards. Loss-absorbing capital. Bank resolution. Dodd-Frank Act.</w:t>
      </w:r>
    </w:p>
    <w:p w14:paraId="6E0E9DE5" w14:textId="77777777" w:rsidR="00DA0F5C" w:rsidRPr="00DA0F5C"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defined benefits (DB) plans, defined contribution (DC) plans, magnitude of under funding of pensions, accounting and regulatory standards for valuing and reporting pension assets and liabilities. Asset allocation policies – mean-variance approaches, exposure to factors, liability driven investments (LDI), etc.</w:t>
      </w:r>
    </w:p>
    <w:p w14:paraId="026E57F2" w14:textId="41CC43EA" w:rsidR="00D75D70" w:rsidRPr="00E32A45" w:rsidRDefault="00D75D70" w:rsidP="003B3A52">
      <w:pPr>
        <w:pStyle w:val="ListParagraph"/>
        <w:numPr>
          <w:ilvl w:val="0"/>
          <w:numId w:val="11"/>
        </w:numPr>
        <w:spacing w:line="240" w:lineRule="auto"/>
        <w:rPr>
          <w:b/>
          <w:sz w:val="24"/>
          <w:szCs w:val="24"/>
        </w:rPr>
      </w:pP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77777777" w:rsidR="00E32A45" w:rsidRDefault="00E32A45" w:rsidP="00E32A45">
      <w:pPr>
        <w:pStyle w:val="ListParagraph"/>
        <w:numPr>
          <w:ilvl w:val="0"/>
          <w:numId w:val="12"/>
        </w:numPr>
        <w:spacing w:line="240" w:lineRule="auto"/>
        <w:rPr>
          <w:sz w:val="24"/>
          <w:szCs w:val="24"/>
        </w:rPr>
      </w:pPr>
      <w:r>
        <w:rPr>
          <w:b/>
          <w:bCs/>
          <w:sz w:val="24"/>
          <w:szCs w:val="24"/>
        </w:rPr>
        <w:t>Repo markets:</w:t>
      </w:r>
      <w:r>
        <w:rPr>
          <w:sz w:val="24"/>
          <w:szCs w:val="24"/>
        </w:rPr>
        <w:t xml:space="preserve"> secured lending and borrowing of cash and securities. “Safe-harbor” rights, and super-priority rights to lenders of cash in this markets.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OIS,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1433D30F" w:rsidR="00E15341" w:rsidRDefault="000B7A80" w:rsidP="006E7717">
      <w:pPr>
        <w:pStyle w:val="ListParagraph"/>
        <w:numPr>
          <w:ilvl w:val="0"/>
          <w:numId w:val="13"/>
        </w:numPr>
        <w:spacing w:line="240" w:lineRule="auto"/>
        <w:rPr>
          <w:sz w:val="24"/>
          <w:szCs w:val="24"/>
        </w:rPr>
      </w:pPr>
      <w:r>
        <w:rPr>
          <w:b/>
          <w:sz w:val="24"/>
          <w:szCs w:val="24"/>
        </w:rPr>
        <w:t>Swaps</w:t>
      </w:r>
      <w:r w:rsidR="00CC743F" w:rsidRPr="00CC743F">
        <w:rPr>
          <w:b/>
          <w:sz w:val="24"/>
          <w:szCs w:val="24"/>
        </w:rPr>
        <w:t>:</w:t>
      </w:r>
      <w:r w:rsidR="00F102CA">
        <w:rPr>
          <w:sz w:val="24"/>
          <w:szCs w:val="24"/>
        </w:rPr>
        <w:t xml:space="preserve"> </w:t>
      </w:r>
      <w:r>
        <w:rPr>
          <w:sz w:val="24"/>
          <w:szCs w:val="24"/>
        </w:rPr>
        <w:t xml:space="preserve">Use of swaps by corporations, pension funds and insurance companies. </w:t>
      </w:r>
      <w:r w:rsidR="00F102CA">
        <w:rPr>
          <w:sz w:val="24"/>
          <w:szCs w:val="24"/>
        </w:rPr>
        <w:t xml:space="preserve">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Default="00F01AFD" w:rsidP="00F01AFD">
      <w:pPr>
        <w:pStyle w:val="ListParagraph"/>
        <w:numPr>
          <w:ilvl w:val="0"/>
          <w:numId w:val="14"/>
        </w:numPr>
        <w:spacing w:line="240" w:lineRule="auto"/>
        <w:rPr>
          <w:sz w:val="24"/>
          <w:szCs w:val="24"/>
        </w:rPr>
      </w:pPr>
      <w:r>
        <w:rPr>
          <w:b/>
          <w:bCs/>
          <w:sz w:val="24"/>
          <w:szCs w:val="24"/>
        </w:rPr>
        <w:lastRenderedPageBreak/>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5ED95618" w14:textId="7EACD2A7" w:rsidR="002A57C8" w:rsidRPr="00D75D70" w:rsidRDefault="002A57C8" w:rsidP="00F01AFD">
      <w:pPr>
        <w:pStyle w:val="ListParagraph"/>
        <w:numPr>
          <w:ilvl w:val="0"/>
          <w:numId w:val="14"/>
        </w:numPr>
        <w:spacing w:line="240" w:lineRule="auto"/>
        <w:rPr>
          <w:sz w:val="24"/>
          <w:szCs w:val="24"/>
        </w:rPr>
      </w:pPr>
      <w:r>
        <w:rPr>
          <w:b/>
          <w:bCs/>
          <w:sz w:val="24"/>
          <w:szCs w:val="24"/>
        </w:rPr>
        <w:t>Pension/Insurance Asset Allocation:</w:t>
      </w:r>
      <w:r>
        <w:rPr>
          <w:sz w:val="24"/>
          <w:szCs w:val="24"/>
        </w:rPr>
        <w:t xml:space="preserve"> Liability-driven investment strategies, Surplus management strategies, CAT-bonds</w:t>
      </w:r>
      <w:r w:rsidR="00D93C5C">
        <w:rPr>
          <w:sz w:val="24"/>
          <w:szCs w:val="24"/>
        </w:rPr>
        <w:t>, etc. Managing in low interest rate regimes.</w:t>
      </w:r>
    </w:p>
    <w:p w14:paraId="3F29E9A1" w14:textId="621D19AF" w:rsidR="00CE1D88"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05890594" w14:textId="77777777" w:rsidR="0091437D" w:rsidRPr="00D75D70" w:rsidRDefault="0091437D" w:rsidP="0091437D">
      <w:pPr>
        <w:pStyle w:val="ListParagraph"/>
        <w:spacing w:line="240" w:lineRule="auto"/>
        <w:ind w:left="1440"/>
        <w:rPr>
          <w:sz w:val="24"/>
          <w:szCs w:val="24"/>
        </w:rPr>
      </w:pP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t xml:space="preserve">Derivatives: </w:t>
      </w:r>
    </w:p>
    <w:p w14:paraId="252105CF" w14:textId="77777777" w:rsidR="00E32970" w:rsidRPr="00E32970" w:rsidRDefault="00E32970" w:rsidP="00E32970">
      <w:pPr>
        <w:pStyle w:val="ListParagraph"/>
        <w:spacing w:line="240" w:lineRule="auto"/>
        <w:rPr>
          <w:sz w:val="24"/>
          <w:szCs w:val="24"/>
        </w:rPr>
      </w:pPr>
    </w:p>
    <w:p w14:paraId="41D9A6CD" w14:textId="55E0D705" w:rsidR="00CB7EE6" w:rsidRPr="00CB7EE6" w:rsidRDefault="00CB7EE6" w:rsidP="00E32970">
      <w:pPr>
        <w:pStyle w:val="ListParagraph"/>
        <w:numPr>
          <w:ilvl w:val="0"/>
          <w:numId w:val="16"/>
        </w:numPr>
        <w:spacing w:line="240" w:lineRule="auto"/>
        <w:rPr>
          <w:b/>
          <w:sz w:val="24"/>
          <w:szCs w:val="24"/>
        </w:rPr>
      </w:pPr>
      <w:r w:rsidRPr="00CB7EE6">
        <w:rPr>
          <w:b/>
          <w:sz w:val="24"/>
          <w:szCs w:val="24"/>
        </w:rPr>
        <w:t>Eurodollar futures contracts.</w:t>
      </w: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1CD0507F" w:rsidR="00E15341" w:rsidRDefault="00D93C5C" w:rsidP="00E32970">
      <w:pPr>
        <w:pStyle w:val="ListParagraph"/>
        <w:numPr>
          <w:ilvl w:val="0"/>
          <w:numId w:val="16"/>
        </w:numPr>
        <w:spacing w:line="240" w:lineRule="auto"/>
        <w:rPr>
          <w:sz w:val="24"/>
          <w:szCs w:val="24"/>
        </w:rPr>
      </w:pPr>
      <w:r>
        <w:rPr>
          <w:b/>
          <w:sz w:val="24"/>
          <w:szCs w:val="24"/>
        </w:rPr>
        <w:t>C</w:t>
      </w:r>
      <w:r w:rsidR="00E15341" w:rsidRPr="00C7224A">
        <w:rPr>
          <w:b/>
          <w:sz w:val="24"/>
          <w:szCs w:val="24"/>
        </w:rPr>
        <w:t>redit default swaps</w:t>
      </w:r>
      <w:r>
        <w:rPr>
          <w:b/>
          <w:sz w:val="24"/>
          <w:szCs w:val="24"/>
        </w:rPr>
        <w:t>/INDEX</w:t>
      </w:r>
      <w:r w:rsidR="00E32970" w:rsidRPr="00C7224A">
        <w:rPr>
          <w:b/>
          <w:sz w:val="24"/>
          <w:szCs w:val="24"/>
        </w:rPr>
        <w:t xml:space="preserve"> (CDS</w:t>
      </w:r>
      <w:r>
        <w:rPr>
          <w:b/>
          <w:sz w:val="24"/>
          <w:szCs w:val="24"/>
        </w:rPr>
        <w:t>/CDX</w:t>
      </w:r>
      <w:r w:rsidR="00E32970" w:rsidRPr="00C7224A">
        <w:rPr>
          <w:b/>
          <w:sz w:val="24"/>
          <w:szCs w:val="24"/>
        </w:rPr>
        <w:t>):</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74A7B622" w14:textId="56323001" w:rsidR="0091437D" w:rsidRPr="0091437D" w:rsidRDefault="00D93C5C" w:rsidP="0091437D">
      <w:pPr>
        <w:pStyle w:val="ListParagraph"/>
        <w:numPr>
          <w:ilvl w:val="0"/>
          <w:numId w:val="16"/>
        </w:numPr>
        <w:rPr>
          <w:b/>
          <w:sz w:val="24"/>
          <w:szCs w:val="24"/>
        </w:rPr>
      </w:pPr>
      <w:r>
        <w:rPr>
          <w:b/>
          <w:sz w:val="24"/>
          <w:szCs w:val="24"/>
        </w:rPr>
        <w:t xml:space="preserve">RECOMMENDED </w:t>
      </w:r>
      <w:r w:rsidR="00CE1D88"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5A9F22CD" w14:textId="5E687E70" w:rsidR="00934BFC" w:rsidRPr="00D75D70" w:rsidRDefault="00934BFC" w:rsidP="00D43040">
      <w:pPr>
        <w:rPr>
          <w:b/>
          <w:sz w:val="24"/>
          <w:szCs w:val="24"/>
        </w:rPr>
      </w:pPr>
      <w:bookmarkStart w:id="0" w:name="_GoBack"/>
      <w:bookmarkEnd w:id="0"/>
      <w:r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6.</w:t>
      </w:r>
    </w:p>
    <w:p w14:paraId="6BDCF01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12.</w:t>
      </w:r>
    </w:p>
    <w:p w14:paraId="15F48811"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18.</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lastRenderedPageBreak/>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77777777" w:rsidR="007B6D6B" w:rsidRPr="00D75D70" w:rsidRDefault="007B6D6B" w:rsidP="003B3A52">
            <w:pPr>
              <w:rPr>
                <w:sz w:val="24"/>
                <w:szCs w:val="24"/>
              </w:rPr>
            </w:pPr>
            <w:r w:rsidRPr="00D75D70">
              <w:rPr>
                <w:sz w:val="24"/>
                <w:szCs w:val="24"/>
              </w:rPr>
              <w:t>Final Exam</w:t>
            </w:r>
            <w:r w:rsidR="00E15341" w:rsidRPr="00D75D70">
              <w:rPr>
                <w:sz w:val="24"/>
                <w:szCs w:val="24"/>
              </w:rPr>
              <w:t xml:space="preserve"> (during the exam period).</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5B2E7EF4" w14:textId="77777777" w:rsidR="0029227C" w:rsidRPr="0029227C"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w:t>
      </w:r>
      <w:r w:rsidR="0029227C">
        <w:rPr>
          <w:rFonts w:asciiTheme="minorHAnsi" w:hAnsiTheme="minorHAnsi" w:cs="Calibri"/>
          <w:color w:val="000000"/>
        </w:rPr>
        <w:t xml:space="preserve"> carry 15% of the course grade.</w:t>
      </w:r>
    </w:p>
    <w:p w14:paraId="3ED70A89" w14:textId="77777777" w:rsidR="0029227C" w:rsidRPr="0029227C" w:rsidRDefault="0029227C" w:rsidP="0029227C">
      <w:pPr>
        <w:pStyle w:val="default0"/>
        <w:ind w:left="1296"/>
        <w:rPr>
          <w:rFonts w:asciiTheme="minorHAnsi" w:hAnsiTheme="minorHAnsi" w:cs="Tahoma"/>
          <w:color w:val="000000"/>
        </w:rPr>
      </w:pPr>
    </w:p>
    <w:p w14:paraId="6DB1F27C" w14:textId="21C933DB"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470E4DE5" w14:textId="317B895B" w:rsidR="007B6D6B" w:rsidRPr="00260C53" w:rsidRDefault="007B6D6B" w:rsidP="00260C53">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6B513934" w14:textId="77777777" w:rsidR="00260C53" w:rsidRPr="00260C53" w:rsidRDefault="00260C53" w:rsidP="00260C53">
      <w:pPr>
        <w:pStyle w:val="default0"/>
        <w:rPr>
          <w:rFonts w:asciiTheme="minorHAnsi" w:hAnsiTheme="minorHAnsi" w:cs="Tahoma"/>
          <w:color w:val="000000"/>
        </w:rPr>
      </w:pPr>
    </w:p>
    <w:p w14:paraId="71DF58D7" w14:textId="479BB147" w:rsidR="003F7F36" w:rsidRPr="00D93C5C" w:rsidRDefault="007B6D6B" w:rsidP="003F7F36">
      <w:pPr>
        <w:pStyle w:val="default0"/>
        <w:numPr>
          <w:ilvl w:val="0"/>
          <w:numId w:val="6"/>
        </w:numPr>
        <w:rPr>
          <w:rFonts w:asciiTheme="minorHAnsi" w:hAnsiTheme="minorHAnsi" w:cs="Tahoma"/>
          <w:b/>
          <w:color w:val="000000"/>
          <w:u w:val="single"/>
        </w:rPr>
      </w:pPr>
      <w:r w:rsidRPr="00D93C5C">
        <w:rPr>
          <w:rFonts w:asciiTheme="minorHAnsi" w:hAnsiTheme="minorHAnsi" w:cs="Tahoma"/>
          <w:b/>
          <w:color w:val="000000"/>
          <w:u w:val="single"/>
        </w:rPr>
        <w:t xml:space="preserve">I would expect you NOT to use mobile phones or laptops </w:t>
      </w:r>
      <w:r w:rsidR="00C7224A" w:rsidRPr="00D93C5C">
        <w:rPr>
          <w:rFonts w:asciiTheme="minorHAnsi" w:hAnsiTheme="minorHAnsi" w:cs="Tahoma"/>
          <w:b/>
          <w:color w:val="000000"/>
          <w:u w:val="single"/>
        </w:rPr>
        <w:t xml:space="preserve">or digital aids </w:t>
      </w:r>
      <w:r w:rsidRPr="00D93C5C">
        <w:rPr>
          <w:rFonts w:asciiTheme="minorHAnsi" w:hAnsiTheme="minorHAnsi" w:cs="Tahoma"/>
          <w:b/>
          <w:color w:val="000000"/>
          <w:u w:val="single"/>
        </w:rPr>
        <w:t>during class hours.</w:t>
      </w:r>
      <w:r w:rsidR="00C7224A" w:rsidRPr="00D93C5C">
        <w:rPr>
          <w:rFonts w:asciiTheme="minorHAnsi" w:hAnsiTheme="minorHAnsi" w:cs="Tahoma"/>
          <w:b/>
          <w:color w:val="000000"/>
          <w:u w:val="single"/>
        </w:rPr>
        <w:t xml:space="preserve"> </w:t>
      </w:r>
    </w:p>
    <w:p w14:paraId="0E5AA1C5" w14:textId="77777777" w:rsidR="00191F1D" w:rsidRDefault="00191F1D" w:rsidP="00191F1D">
      <w:pPr>
        <w:pStyle w:val="default0"/>
        <w:rPr>
          <w:rFonts w:asciiTheme="minorHAnsi" w:hAnsiTheme="minorHAnsi" w:cs="Tahoma"/>
          <w:color w:val="000000"/>
        </w:rPr>
      </w:pPr>
    </w:p>
    <w:p w14:paraId="5E80CD8E" w14:textId="77777777" w:rsidR="00191F1D" w:rsidRPr="0029227C" w:rsidRDefault="00191F1D" w:rsidP="00191F1D">
      <w:pPr>
        <w:pStyle w:val="default0"/>
        <w:ind w:left="1296"/>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CCA8" w14:textId="77777777" w:rsidR="00DA0F5C" w:rsidRDefault="00DA0F5C" w:rsidP="00934BFC">
      <w:pPr>
        <w:spacing w:after="0" w:line="240" w:lineRule="auto"/>
      </w:pPr>
      <w:r>
        <w:separator/>
      </w:r>
    </w:p>
  </w:endnote>
  <w:endnote w:type="continuationSeparator" w:id="0">
    <w:p w14:paraId="0A81239F" w14:textId="77777777" w:rsidR="00DA0F5C" w:rsidRDefault="00DA0F5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916E" w14:textId="77777777" w:rsidR="00DA0F5C" w:rsidRDefault="00DA0F5C">
    <w:pPr>
      <w:pStyle w:val="Footer"/>
    </w:pPr>
    <w:r>
      <w:t xml:space="preserve">Page </w:t>
    </w:r>
    <w:r>
      <w:rPr>
        <w:b/>
      </w:rPr>
      <w:fldChar w:fldCharType="begin"/>
    </w:r>
    <w:r>
      <w:rPr>
        <w:b/>
      </w:rPr>
      <w:instrText xml:space="preserve"> PAGE  \* Arabic  \* MERGEFORMAT </w:instrText>
    </w:r>
    <w:r>
      <w:rPr>
        <w:b/>
      </w:rPr>
      <w:fldChar w:fldCharType="separate"/>
    </w:r>
    <w:r w:rsidR="005F249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F249C">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ADE0" w14:textId="77777777" w:rsidR="00DA0F5C" w:rsidRDefault="00DA0F5C" w:rsidP="00934BFC">
      <w:pPr>
        <w:spacing w:after="0" w:line="240" w:lineRule="auto"/>
      </w:pPr>
      <w:r>
        <w:separator/>
      </w:r>
    </w:p>
  </w:footnote>
  <w:footnote w:type="continuationSeparator" w:id="0">
    <w:p w14:paraId="574BE9EF" w14:textId="77777777" w:rsidR="00DA0F5C" w:rsidRDefault="00DA0F5C"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4F67" w14:textId="77777777" w:rsidR="00DA0F5C" w:rsidRDefault="00DA0F5C"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7A80"/>
    <w:rsid w:val="001836B1"/>
    <w:rsid w:val="00191F1D"/>
    <w:rsid w:val="001D55F6"/>
    <w:rsid w:val="002060D3"/>
    <w:rsid w:val="00260C53"/>
    <w:rsid w:val="00263453"/>
    <w:rsid w:val="0029227C"/>
    <w:rsid w:val="002A57C8"/>
    <w:rsid w:val="002F54E1"/>
    <w:rsid w:val="002F61C3"/>
    <w:rsid w:val="0037125A"/>
    <w:rsid w:val="003B3A52"/>
    <w:rsid w:val="003F7F36"/>
    <w:rsid w:val="00496A1C"/>
    <w:rsid w:val="004E6E02"/>
    <w:rsid w:val="00510DCD"/>
    <w:rsid w:val="00535F4E"/>
    <w:rsid w:val="00573C56"/>
    <w:rsid w:val="005A6147"/>
    <w:rsid w:val="005E469D"/>
    <w:rsid w:val="005F249C"/>
    <w:rsid w:val="0063563F"/>
    <w:rsid w:val="006E7717"/>
    <w:rsid w:val="007165E8"/>
    <w:rsid w:val="007B6D6B"/>
    <w:rsid w:val="007E40FC"/>
    <w:rsid w:val="00865C0B"/>
    <w:rsid w:val="00882DB8"/>
    <w:rsid w:val="008910E8"/>
    <w:rsid w:val="0091437D"/>
    <w:rsid w:val="00934BFC"/>
    <w:rsid w:val="009350E1"/>
    <w:rsid w:val="00A33140"/>
    <w:rsid w:val="00A46929"/>
    <w:rsid w:val="00A51220"/>
    <w:rsid w:val="00AF0275"/>
    <w:rsid w:val="00AF6E46"/>
    <w:rsid w:val="00B90510"/>
    <w:rsid w:val="00C11400"/>
    <w:rsid w:val="00C1780B"/>
    <w:rsid w:val="00C23435"/>
    <w:rsid w:val="00C7224A"/>
    <w:rsid w:val="00CB7EE6"/>
    <w:rsid w:val="00CC743F"/>
    <w:rsid w:val="00CE1D88"/>
    <w:rsid w:val="00D32A43"/>
    <w:rsid w:val="00D43040"/>
    <w:rsid w:val="00D75D70"/>
    <w:rsid w:val="00D93C5C"/>
    <w:rsid w:val="00DA0F5C"/>
    <w:rsid w:val="00DB507F"/>
    <w:rsid w:val="00E15341"/>
    <w:rsid w:val="00E32970"/>
    <w:rsid w:val="00E32A45"/>
    <w:rsid w:val="00E534EC"/>
    <w:rsid w:val="00F01AFD"/>
    <w:rsid w:val="00F102CA"/>
    <w:rsid w:val="00FA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CD34E-57B1-4D46-9226-7E8F3D38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1577</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Mahadevan Sundaresan</cp:lastModifiedBy>
  <cp:revision>5</cp:revision>
  <cp:lastPrinted>2015-10-24T09:30:00Z</cp:lastPrinted>
  <dcterms:created xsi:type="dcterms:W3CDTF">2015-10-24T09:24:00Z</dcterms:created>
  <dcterms:modified xsi:type="dcterms:W3CDTF">2015-10-24T09:31:00Z</dcterms:modified>
</cp:coreProperties>
</file>