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0E60" w:rsidRDefault="005F0E60" w:rsidP="005F0E60">
      <w:pPr>
        <w:widowControl w:val="0"/>
        <w:jc w:val="center"/>
        <w:rPr>
          <w:b/>
          <w:sz w:val="28"/>
          <w:szCs w:val="28"/>
        </w:rPr>
      </w:pPr>
      <w:r w:rsidRPr="005F0E60">
        <w:rPr>
          <w:b/>
          <w:sz w:val="28"/>
          <w:szCs w:val="28"/>
        </w:rPr>
        <w:t xml:space="preserve">Columbia Business School </w:t>
      </w:r>
    </w:p>
    <w:p w:rsidR="002717A9" w:rsidRDefault="005F0E60" w:rsidP="002717A9">
      <w:pPr>
        <w:widowControl w:val="0"/>
        <w:jc w:val="center"/>
        <w:rPr>
          <w:b/>
        </w:rPr>
      </w:pPr>
      <w:r w:rsidRPr="005F0E60">
        <w:rPr>
          <w:b/>
          <w:sz w:val="28"/>
          <w:szCs w:val="28"/>
        </w:rPr>
        <w:t>Executive MBA Program</w:t>
      </w:r>
      <w:r w:rsidR="002717A9">
        <w:rPr>
          <w:b/>
          <w:sz w:val="28"/>
          <w:szCs w:val="28"/>
        </w:rPr>
        <w:t xml:space="preserve"> - </w:t>
      </w:r>
      <w:r w:rsidR="002717A9" w:rsidRPr="005F0E60">
        <w:rPr>
          <w:b/>
          <w:sz w:val="28"/>
          <w:szCs w:val="28"/>
        </w:rPr>
        <w:t>Summer 201</w:t>
      </w:r>
      <w:r w:rsidR="00BE0E1F">
        <w:rPr>
          <w:b/>
          <w:sz w:val="28"/>
          <w:szCs w:val="28"/>
        </w:rPr>
        <w:t>9</w:t>
      </w:r>
      <w:bookmarkStart w:id="0" w:name="_GoBack"/>
      <w:bookmarkEnd w:id="0"/>
    </w:p>
    <w:p w:rsidR="00D34644" w:rsidRDefault="005326CA" w:rsidP="005F0E60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New York </w:t>
      </w:r>
      <w:r w:rsidR="00D34644">
        <w:rPr>
          <w:b/>
          <w:sz w:val="28"/>
          <w:szCs w:val="28"/>
        </w:rPr>
        <w:t>Block Week</w:t>
      </w:r>
    </w:p>
    <w:p w:rsidR="005F0E60" w:rsidRDefault="001837B0" w:rsidP="005F0E60">
      <w:pPr>
        <w:widowControl w:val="0"/>
        <w:jc w:val="center"/>
        <w:rPr>
          <w:b/>
          <w:sz w:val="28"/>
          <w:szCs w:val="28"/>
        </w:rPr>
      </w:pPr>
      <w:r w:rsidRPr="005F0E60">
        <w:rPr>
          <w:b/>
          <w:sz w:val="28"/>
          <w:szCs w:val="28"/>
        </w:rPr>
        <w:t xml:space="preserve"> </w:t>
      </w:r>
    </w:p>
    <w:p w:rsidR="007A5105" w:rsidRDefault="00D84114" w:rsidP="005F0E60">
      <w:pPr>
        <w:widowControl w:val="0"/>
        <w:jc w:val="center"/>
        <w:rPr>
          <w:b/>
          <w:sz w:val="28"/>
          <w:szCs w:val="28"/>
        </w:rPr>
      </w:pPr>
      <w:r w:rsidRPr="005F0E60">
        <w:rPr>
          <w:b/>
          <w:sz w:val="28"/>
          <w:szCs w:val="28"/>
        </w:rPr>
        <w:t xml:space="preserve">Advance </w:t>
      </w:r>
      <w:r w:rsidR="007A5105" w:rsidRPr="005F0E60">
        <w:rPr>
          <w:b/>
          <w:sz w:val="28"/>
          <w:szCs w:val="28"/>
        </w:rPr>
        <w:t xml:space="preserve">International </w:t>
      </w:r>
      <w:r w:rsidRPr="005F0E60">
        <w:rPr>
          <w:b/>
          <w:sz w:val="28"/>
          <w:szCs w:val="28"/>
        </w:rPr>
        <w:t>Corporate Finance</w:t>
      </w:r>
    </w:p>
    <w:p w:rsidR="005F0E60" w:rsidRPr="005F0E60" w:rsidRDefault="005F0E60" w:rsidP="005F0E60">
      <w:pPr>
        <w:widowControl w:val="0"/>
        <w:jc w:val="center"/>
        <w:rPr>
          <w:b/>
          <w:sz w:val="28"/>
          <w:szCs w:val="28"/>
        </w:rPr>
      </w:pPr>
      <w:r w:rsidRPr="005F0E60">
        <w:rPr>
          <w:b/>
          <w:sz w:val="28"/>
          <w:szCs w:val="28"/>
        </w:rPr>
        <w:t xml:space="preserve">Professor Robert J. Hodrick                                 </w:t>
      </w:r>
    </w:p>
    <w:p w:rsidR="00EE114B" w:rsidRDefault="00EE114B" w:rsidP="007A5105">
      <w:pPr>
        <w:widowControl w:val="0"/>
      </w:pPr>
    </w:p>
    <w:p w:rsidR="007E4974" w:rsidRDefault="005F0E60" w:rsidP="007E4974">
      <w:pPr>
        <w:widowControl w:val="0"/>
        <w:jc w:val="both"/>
      </w:pPr>
      <w:r w:rsidRPr="005526DF">
        <w:rPr>
          <w:b/>
        </w:rPr>
        <w:t>Course Description:</w:t>
      </w:r>
      <w:r>
        <w:t xml:space="preserve"> </w:t>
      </w:r>
      <w:r w:rsidR="000520C8">
        <w:t xml:space="preserve">The course examines </w:t>
      </w:r>
      <w:r w:rsidR="007E4974">
        <w:t xml:space="preserve">important issues in international corporate finance using a mixture of classes involving lecture/discussion and the analysis of cases.  After a review of international finance fundamentals, </w:t>
      </w:r>
      <w:r w:rsidR="005A7007">
        <w:t xml:space="preserve">we will examine </w:t>
      </w:r>
      <w:r w:rsidR="007E4974">
        <w:t xml:space="preserve">international capital budgeting decisions, which require an understanding of exchange rates and the determination of an appropriate cost of capital.  </w:t>
      </w:r>
      <w:r w:rsidR="005A7007">
        <w:t xml:space="preserve">We will use both discounted cash flow analysis, adjusted net present value analysis, and various multiples in our valuations.  </w:t>
      </w:r>
      <w:r w:rsidR="00733930">
        <w:t>T</w:t>
      </w:r>
      <w:r w:rsidR="007E4974">
        <w:t xml:space="preserve">hese issues </w:t>
      </w:r>
      <w:r w:rsidR="00733930">
        <w:t xml:space="preserve">are examined </w:t>
      </w:r>
      <w:r w:rsidR="007E4974">
        <w:t>as they arise in the valuation o</w:t>
      </w:r>
      <w:r w:rsidR="005A7007">
        <w:t xml:space="preserve">f direct foreign investments, leveraged buyouts, </w:t>
      </w:r>
      <w:r w:rsidR="000520C8">
        <w:t>initial public offerings,</w:t>
      </w:r>
      <w:r w:rsidR="00733930">
        <w:t xml:space="preserve"> </w:t>
      </w:r>
      <w:r w:rsidR="005A7007">
        <w:t xml:space="preserve">and </w:t>
      </w:r>
      <w:r w:rsidR="007E4974">
        <w:t xml:space="preserve">international mergers and acquisitions. </w:t>
      </w:r>
      <w:r w:rsidR="000251EF">
        <w:t>Several</w:t>
      </w:r>
      <w:r w:rsidR="00733930">
        <w:t xml:space="preserve"> of the cases involve corporations in emerging markets where issues of political risk arise.</w:t>
      </w:r>
      <w:r w:rsidR="007E4974">
        <w:t xml:space="preserve"> </w:t>
      </w:r>
      <w:r w:rsidR="00733930">
        <w:t xml:space="preserve">The course also analyzes </w:t>
      </w:r>
      <w:r w:rsidR="007E4974">
        <w:t>the determination and management of foreign exchange risks of various types.  The cases include discussions of the use of foreign currency forwards, options, and swaps</w:t>
      </w:r>
      <w:r w:rsidR="00EB20A9">
        <w:t xml:space="preserve"> and their appropriate use in risk management</w:t>
      </w:r>
      <w:r w:rsidR="000251EF">
        <w:t xml:space="preserve"> to enhance the value of a firm.</w:t>
      </w:r>
    </w:p>
    <w:p w:rsidR="007A5105" w:rsidRDefault="007A5105" w:rsidP="007A5105">
      <w:pPr>
        <w:widowControl w:val="0"/>
        <w:jc w:val="both"/>
      </w:pPr>
      <w:r>
        <w:t xml:space="preserve">  </w:t>
      </w:r>
    </w:p>
    <w:p w:rsidR="007A5105" w:rsidRDefault="005526DF" w:rsidP="007A5105">
      <w:pPr>
        <w:widowControl w:val="0"/>
        <w:jc w:val="both"/>
      </w:pPr>
      <w:r>
        <w:rPr>
          <w:b/>
        </w:rPr>
        <w:t xml:space="preserve">Prerequisites: </w:t>
      </w:r>
      <w:r w:rsidR="005A7007">
        <w:t xml:space="preserve">This is a quantitative finance course.  </w:t>
      </w:r>
      <w:r w:rsidR="001C709A">
        <w:t>S</w:t>
      </w:r>
      <w:r w:rsidR="00892E2D">
        <w:t>tudents should have taken Capital</w:t>
      </w:r>
      <w:r w:rsidR="001C709A">
        <w:t xml:space="preserve"> Markets and Investments or its equivalent prior to enrolling in the course</w:t>
      </w:r>
      <w:r w:rsidR="007A5105">
        <w:t>.</w:t>
      </w:r>
    </w:p>
    <w:p w:rsidR="002717A9" w:rsidRDefault="002717A9" w:rsidP="007A5105">
      <w:pPr>
        <w:widowControl w:val="0"/>
        <w:jc w:val="both"/>
      </w:pPr>
    </w:p>
    <w:p w:rsidR="002717A9" w:rsidRPr="002717A9" w:rsidRDefault="002717A9" w:rsidP="007A5105">
      <w:pPr>
        <w:widowControl w:val="0"/>
        <w:jc w:val="both"/>
        <w:rPr>
          <w:b/>
        </w:rPr>
      </w:pPr>
      <w:r>
        <w:rPr>
          <w:b/>
        </w:rPr>
        <w:t xml:space="preserve">Connection with the Core:  </w:t>
      </w:r>
      <w:r>
        <w:t>The class will utilize, build on, and extend concepts covered in the following core courses:</w:t>
      </w:r>
    </w:p>
    <w:p w:rsidR="002717A9" w:rsidRDefault="002717A9" w:rsidP="007A5105">
      <w:pPr>
        <w:widowControl w:val="0"/>
        <w:jc w:val="both"/>
      </w:pPr>
      <w:r>
        <w:tab/>
        <w:t>Corporate Finance:</w:t>
      </w:r>
    </w:p>
    <w:p w:rsidR="002717A9" w:rsidRDefault="002717A9" w:rsidP="007A5105">
      <w:pPr>
        <w:widowControl w:val="0"/>
        <w:jc w:val="both"/>
      </w:pPr>
      <w:r>
        <w:tab/>
      </w:r>
      <w:r>
        <w:tab/>
        <w:t>Present Value</w:t>
      </w:r>
    </w:p>
    <w:p w:rsidR="002717A9" w:rsidRDefault="002717A9" w:rsidP="007A5105">
      <w:pPr>
        <w:widowControl w:val="0"/>
        <w:jc w:val="both"/>
      </w:pPr>
      <w:r>
        <w:tab/>
      </w:r>
      <w:r>
        <w:tab/>
        <w:t>The Capital Asset Pricing Model</w:t>
      </w:r>
    </w:p>
    <w:p w:rsidR="002717A9" w:rsidRDefault="002717A9" w:rsidP="007A5105">
      <w:pPr>
        <w:widowControl w:val="0"/>
        <w:jc w:val="both"/>
      </w:pPr>
      <w:r>
        <w:tab/>
      </w:r>
      <w:r>
        <w:tab/>
        <w:t>Systematic vs. Idiosyncratic Risk</w:t>
      </w:r>
    </w:p>
    <w:p w:rsidR="002717A9" w:rsidRDefault="002717A9" w:rsidP="007A5105">
      <w:pPr>
        <w:widowControl w:val="0"/>
        <w:jc w:val="both"/>
      </w:pPr>
      <w:r>
        <w:tab/>
      </w:r>
      <w:r>
        <w:tab/>
        <w:t>Valuing a company with discounted cash flow analysis</w:t>
      </w:r>
    </w:p>
    <w:p w:rsidR="002717A9" w:rsidRDefault="002717A9" w:rsidP="007A5105">
      <w:pPr>
        <w:widowControl w:val="0"/>
        <w:jc w:val="both"/>
      </w:pPr>
      <w:r>
        <w:tab/>
        <w:t>Managerial Finance:</w:t>
      </w:r>
    </w:p>
    <w:p w:rsidR="002717A9" w:rsidRDefault="002717A9" w:rsidP="007A5105">
      <w:pPr>
        <w:widowControl w:val="0"/>
        <w:jc w:val="both"/>
      </w:pPr>
      <w:r>
        <w:tab/>
      </w:r>
      <w:r>
        <w:tab/>
        <w:t>Statistical concepts such as means, variances, and covariances</w:t>
      </w:r>
    </w:p>
    <w:p w:rsidR="002717A9" w:rsidRDefault="002717A9" w:rsidP="007A5105">
      <w:pPr>
        <w:widowControl w:val="0"/>
        <w:jc w:val="both"/>
      </w:pPr>
      <w:r>
        <w:tab/>
      </w:r>
      <w:r>
        <w:tab/>
        <w:t>Normal distributions</w:t>
      </w:r>
    </w:p>
    <w:p w:rsidR="002717A9" w:rsidRDefault="002717A9" w:rsidP="002717A9">
      <w:pPr>
        <w:widowControl w:val="0"/>
        <w:jc w:val="both"/>
      </w:pPr>
      <w:r>
        <w:tab/>
      </w:r>
      <w:r>
        <w:tab/>
        <w:t>Linear regression</w:t>
      </w:r>
    </w:p>
    <w:p w:rsidR="002717A9" w:rsidRDefault="002717A9" w:rsidP="002717A9">
      <w:pPr>
        <w:widowControl w:val="0"/>
        <w:jc w:val="both"/>
      </w:pPr>
      <w:r>
        <w:tab/>
        <w:t>Global Economic Environment:</w:t>
      </w:r>
    </w:p>
    <w:p w:rsidR="002717A9" w:rsidRDefault="002717A9" w:rsidP="002717A9">
      <w:pPr>
        <w:widowControl w:val="0"/>
        <w:jc w:val="both"/>
      </w:pPr>
      <w:r>
        <w:tab/>
      </w:r>
      <w:r>
        <w:tab/>
        <w:t>Interest Rates and Inflation</w:t>
      </w:r>
    </w:p>
    <w:p w:rsidR="002717A9" w:rsidRPr="002717A9" w:rsidRDefault="002717A9" w:rsidP="007A5105">
      <w:pPr>
        <w:widowControl w:val="0"/>
        <w:jc w:val="both"/>
      </w:pPr>
      <w:r>
        <w:tab/>
      </w:r>
      <w:r>
        <w:tab/>
        <w:t>The Determination of Exchange Rates</w:t>
      </w:r>
      <w:r>
        <w:tab/>
      </w:r>
    </w:p>
    <w:p w:rsidR="007A5105" w:rsidRDefault="007A5105" w:rsidP="007A5105">
      <w:pPr>
        <w:widowControl w:val="0"/>
        <w:jc w:val="both"/>
      </w:pPr>
    </w:p>
    <w:p w:rsidR="007A5105" w:rsidRDefault="00A64BC3" w:rsidP="007A5105">
      <w:pPr>
        <w:widowControl w:val="0"/>
        <w:jc w:val="both"/>
      </w:pPr>
      <w:r w:rsidRPr="00355D65">
        <w:rPr>
          <w:b/>
        </w:rPr>
        <w:t>Text</w:t>
      </w:r>
      <w:r w:rsidR="007E4974" w:rsidRPr="00355D65">
        <w:rPr>
          <w:b/>
        </w:rPr>
        <w:t>book</w:t>
      </w:r>
      <w:r w:rsidR="00355D65">
        <w:rPr>
          <w:b/>
        </w:rPr>
        <w:t>:</w:t>
      </w:r>
      <w:r w:rsidR="00C53A67">
        <w:t xml:space="preserve"> </w:t>
      </w:r>
      <w:r w:rsidR="007A5105">
        <w:t>G</w:t>
      </w:r>
      <w:r w:rsidR="00B3359B">
        <w:t>eert</w:t>
      </w:r>
      <w:r w:rsidR="007A5105">
        <w:t xml:space="preserve"> Bekaert</w:t>
      </w:r>
      <w:r w:rsidR="00C53A67">
        <w:t xml:space="preserve"> and Robert Hodrick</w:t>
      </w:r>
      <w:r w:rsidR="007A5105">
        <w:t xml:space="preserve">, </w:t>
      </w:r>
      <w:r w:rsidR="007A5105">
        <w:rPr>
          <w:i/>
        </w:rPr>
        <w:t>International Financial Management</w:t>
      </w:r>
      <w:r w:rsidR="007E4974">
        <w:t xml:space="preserve">, </w:t>
      </w:r>
      <w:r w:rsidR="00A857CC">
        <w:t>3</w:t>
      </w:r>
      <w:r w:rsidR="00A857CC" w:rsidRPr="00A857CC">
        <w:rPr>
          <w:vertAlign w:val="superscript"/>
        </w:rPr>
        <w:t>rd</w:t>
      </w:r>
      <w:r w:rsidR="00A857CC">
        <w:t xml:space="preserve"> </w:t>
      </w:r>
      <w:r w:rsidR="006E25B2">
        <w:t xml:space="preserve">Edition, </w:t>
      </w:r>
      <w:r w:rsidR="00A857CC">
        <w:t>Cambridge University Press</w:t>
      </w:r>
      <w:r w:rsidR="00C53A67">
        <w:t>,</w:t>
      </w:r>
      <w:r w:rsidR="00B3359B">
        <w:t xml:space="preserve"> </w:t>
      </w:r>
      <w:r w:rsidR="007E4974">
        <w:t>20</w:t>
      </w:r>
      <w:r w:rsidR="00A857CC">
        <w:t>17</w:t>
      </w:r>
      <w:r w:rsidR="007E4974">
        <w:t>.</w:t>
      </w:r>
    </w:p>
    <w:p w:rsidR="00D34644" w:rsidRDefault="00D34644" w:rsidP="007A5105">
      <w:pPr>
        <w:widowControl w:val="0"/>
        <w:jc w:val="both"/>
      </w:pPr>
    </w:p>
    <w:p w:rsidR="00D34644" w:rsidRPr="00D34644" w:rsidRDefault="00D34644" w:rsidP="007A5105">
      <w:pPr>
        <w:widowControl w:val="0"/>
        <w:jc w:val="both"/>
      </w:pPr>
      <w:r>
        <w:rPr>
          <w:b/>
        </w:rPr>
        <w:t xml:space="preserve">Cases: </w:t>
      </w:r>
      <w:r>
        <w:t xml:space="preserve">Cases are available </w:t>
      </w:r>
      <w:r w:rsidR="000251EF">
        <w:t xml:space="preserve">as PDFs </w:t>
      </w:r>
      <w:r>
        <w:t>on Canvas.</w:t>
      </w:r>
      <w:r w:rsidR="00D93D83">
        <w:t xml:space="preserve">  Questions for the cases are also on Canvas.</w:t>
      </w:r>
    </w:p>
    <w:p w:rsidR="007A5105" w:rsidRDefault="007A5105" w:rsidP="007A5105">
      <w:pPr>
        <w:widowControl w:val="0"/>
        <w:jc w:val="both"/>
      </w:pPr>
    </w:p>
    <w:p w:rsidR="000251EF" w:rsidRDefault="000251EF" w:rsidP="007A5105">
      <w:pPr>
        <w:widowControl w:val="0"/>
        <w:jc w:val="both"/>
        <w:rPr>
          <w:b/>
        </w:rPr>
      </w:pPr>
    </w:p>
    <w:p w:rsidR="000251EF" w:rsidRDefault="000251EF" w:rsidP="007A5105">
      <w:pPr>
        <w:widowControl w:val="0"/>
        <w:jc w:val="both"/>
        <w:rPr>
          <w:b/>
        </w:rPr>
      </w:pPr>
    </w:p>
    <w:p w:rsidR="007A5105" w:rsidRDefault="007A5105" w:rsidP="007A5105">
      <w:pPr>
        <w:widowControl w:val="0"/>
        <w:jc w:val="both"/>
      </w:pPr>
      <w:r>
        <w:rPr>
          <w:b/>
        </w:rPr>
        <w:lastRenderedPageBreak/>
        <w:t>Course Requirements</w:t>
      </w:r>
      <w:r>
        <w:t>:</w:t>
      </w:r>
    </w:p>
    <w:p w:rsidR="007A5105" w:rsidRDefault="007A5105" w:rsidP="007A5105">
      <w:pPr>
        <w:widowControl w:val="0"/>
        <w:jc w:val="both"/>
      </w:pPr>
    </w:p>
    <w:p w:rsidR="007A5105" w:rsidRDefault="007A5105" w:rsidP="007A5105">
      <w:pPr>
        <w:widowControl w:val="0"/>
        <w:jc w:val="both"/>
      </w:pPr>
      <w:r>
        <w:t xml:space="preserve">Your grade will be based </w:t>
      </w:r>
      <w:r w:rsidR="000251EF">
        <w:t xml:space="preserve">primarily </w:t>
      </w:r>
      <w:r>
        <w:t xml:space="preserve">on </w:t>
      </w:r>
      <w:r w:rsidR="000251EF">
        <w:t xml:space="preserve">class participation, which will assess both </w:t>
      </w:r>
      <w:r>
        <w:t xml:space="preserve">the </w:t>
      </w:r>
      <w:r w:rsidR="000251EF">
        <w:t>quantity but more importantly the quality of what you contribute to class discussions.</w:t>
      </w:r>
    </w:p>
    <w:p w:rsidR="007A5105" w:rsidRDefault="007A5105" w:rsidP="007A5105">
      <w:pPr>
        <w:widowControl w:val="0"/>
        <w:jc w:val="both"/>
      </w:pPr>
    </w:p>
    <w:p w:rsidR="007A5105" w:rsidRDefault="00800B99" w:rsidP="007A5105">
      <w:pPr>
        <w:widowControl w:val="0"/>
        <w:jc w:val="both"/>
      </w:pPr>
      <w:r>
        <w:t>Class Participation: 7</w:t>
      </w:r>
      <w:r w:rsidR="00777801">
        <w:t>5%</w:t>
      </w:r>
      <w:r>
        <w:t>; Take-Home Final: 25%</w:t>
      </w:r>
    </w:p>
    <w:p w:rsidR="007A5105" w:rsidRDefault="007A5105" w:rsidP="007A5105">
      <w:pPr>
        <w:widowControl w:val="0"/>
        <w:jc w:val="both"/>
      </w:pPr>
    </w:p>
    <w:p w:rsidR="007A5105" w:rsidRDefault="0036097E" w:rsidP="007A5105">
      <w:pPr>
        <w:widowControl w:val="0"/>
        <w:jc w:val="both"/>
      </w:pPr>
      <w:r>
        <w:t>When cas</w:t>
      </w:r>
      <w:r w:rsidR="005A7007">
        <w:t xml:space="preserve">es are discussed, we will </w:t>
      </w:r>
      <w:r>
        <w:t xml:space="preserve">break out into groups to first read and then discuss the cases.  </w:t>
      </w:r>
      <w:r w:rsidR="007A5105">
        <w:t>You are expected to participate as an equal partner in your group</w:t>
      </w:r>
      <w:r w:rsidR="001C709A">
        <w:t>, which can have as few as three and as many as five members</w:t>
      </w:r>
      <w:r>
        <w:t>.</w:t>
      </w:r>
      <w:r w:rsidR="005A7007">
        <w:t xml:space="preserve">  I will cold call both groups and individuals for answers.</w:t>
      </w:r>
    </w:p>
    <w:p w:rsidR="0036097E" w:rsidRDefault="0036097E" w:rsidP="007A5105">
      <w:pPr>
        <w:widowControl w:val="0"/>
        <w:jc w:val="both"/>
        <w:rPr>
          <w:b/>
        </w:rPr>
      </w:pPr>
    </w:p>
    <w:p w:rsidR="007A5105" w:rsidRDefault="00892E2D" w:rsidP="007A5105">
      <w:pPr>
        <w:widowControl w:val="0"/>
        <w:jc w:val="both"/>
      </w:pPr>
      <w:r>
        <w:rPr>
          <w:b/>
        </w:rPr>
        <w:t>Honor Code</w:t>
      </w:r>
      <w:r w:rsidR="007A5105">
        <w:rPr>
          <w:b/>
        </w:rPr>
        <w:t>:</w:t>
      </w:r>
    </w:p>
    <w:p w:rsidR="007A5105" w:rsidRDefault="007A5105" w:rsidP="007A5105">
      <w:pPr>
        <w:widowControl w:val="0"/>
        <w:jc w:val="both"/>
      </w:pPr>
    </w:p>
    <w:p w:rsidR="007A5105" w:rsidRDefault="0036097E" w:rsidP="007A5105">
      <w:pPr>
        <w:widowControl w:val="0"/>
        <w:jc w:val="both"/>
      </w:pPr>
      <w:r>
        <w:t xml:space="preserve">The </w:t>
      </w:r>
      <w:r w:rsidR="00F23FA8">
        <w:t xml:space="preserve">Take-Home </w:t>
      </w:r>
      <w:r>
        <w:t>Final Exam is to be done individually</w:t>
      </w:r>
      <w:r w:rsidR="00F23FA8">
        <w:t xml:space="preserve"> and is open-book and open-note</w:t>
      </w:r>
      <w:r>
        <w:t xml:space="preserve">.  </w:t>
      </w:r>
      <w:r w:rsidR="007A5105">
        <w:t>Do not</w:t>
      </w:r>
      <w:r>
        <w:t xml:space="preserve"> share your analysis of the questions with other classmates.</w:t>
      </w:r>
      <w:r w:rsidR="007A5105">
        <w:t xml:space="preserve">  </w:t>
      </w:r>
    </w:p>
    <w:p w:rsidR="007A5105" w:rsidRDefault="007A5105" w:rsidP="007A5105">
      <w:pPr>
        <w:widowControl w:val="0"/>
        <w:jc w:val="both"/>
        <w:rPr>
          <w:b/>
        </w:rPr>
      </w:pPr>
    </w:p>
    <w:p w:rsidR="00BC31D3" w:rsidRDefault="00BC31D3" w:rsidP="00206663">
      <w:pPr>
        <w:widowControl w:val="0"/>
        <w:jc w:val="center"/>
      </w:pPr>
      <w:r>
        <w:rPr>
          <w:b/>
          <w:sz w:val="29"/>
        </w:rPr>
        <w:t>Schedule</w:t>
      </w:r>
    </w:p>
    <w:p w:rsidR="00BC31D3" w:rsidRDefault="00BC31D3" w:rsidP="00BC31D3">
      <w:pPr>
        <w:widowControl w:val="0"/>
        <w:jc w:val="center"/>
      </w:pPr>
    </w:p>
    <w:p w:rsidR="00BC31D3" w:rsidRDefault="0036097E" w:rsidP="00BC31D3">
      <w:pPr>
        <w:widowControl w:val="0"/>
        <w:jc w:val="both"/>
      </w:pPr>
      <w:r>
        <w:t xml:space="preserve">All readings are required and should be done prior to the class, if possible.  I realize that this </w:t>
      </w:r>
      <w:r w:rsidR="00F23FA8">
        <w:t xml:space="preserve">block-week class </w:t>
      </w:r>
      <w:r>
        <w:t>is a very compact schedu</w:t>
      </w:r>
      <w:r w:rsidR="00892E2D">
        <w:t>le, so</w:t>
      </w:r>
      <w:r>
        <w:t xml:space="preserve"> time for case preparation will be allowed in class as well as breakout time for case discussion in groups.</w:t>
      </w:r>
    </w:p>
    <w:p w:rsidR="00B30B8D" w:rsidRDefault="00B30B8D" w:rsidP="00BC31D3">
      <w:pPr>
        <w:widowControl w:val="0"/>
        <w:jc w:val="both"/>
      </w:pPr>
    </w:p>
    <w:p w:rsidR="00A1336F" w:rsidRDefault="000B39DD" w:rsidP="00104AD7">
      <w:pPr>
        <w:widowControl w:val="0"/>
        <w:ind w:left="720" w:hanging="720"/>
        <w:jc w:val="both"/>
        <w:rPr>
          <w:b/>
        </w:rPr>
      </w:pPr>
      <w:r>
        <w:rPr>
          <w:b/>
        </w:rPr>
        <w:t>Day</w:t>
      </w:r>
      <w:r w:rsidR="00892962">
        <w:rPr>
          <w:b/>
        </w:rPr>
        <w:t xml:space="preserve"> 1</w:t>
      </w:r>
      <w:r w:rsidR="00A1336F">
        <w:rPr>
          <w:b/>
        </w:rPr>
        <w:t>:</w:t>
      </w:r>
    </w:p>
    <w:p w:rsidR="00A1336F" w:rsidRDefault="00A1336F" w:rsidP="00104AD7">
      <w:pPr>
        <w:widowControl w:val="0"/>
        <w:ind w:left="720" w:hanging="720"/>
        <w:jc w:val="both"/>
        <w:rPr>
          <w:b/>
        </w:rPr>
      </w:pPr>
    </w:p>
    <w:p w:rsidR="002644B8" w:rsidRDefault="00A1336F" w:rsidP="00104AD7">
      <w:pPr>
        <w:widowControl w:val="0"/>
        <w:ind w:left="720" w:hanging="720"/>
        <w:jc w:val="both"/>
        <w:rPr>
          <w:b/>
        </w:rPr>
      </w:pPr>
      <w:r>
        <w:rPr>
          <w:b/>
        </w:rPr>
        <w:t>Introduction to Foreign Exchange Markets and Transaction Exchange Risk</w:t>
      </w:r>
    </w:p>
    <w:p w:rsidR="002644B8" w:rsidRDefault="002644B8" w:rsidP="00104AD7">
      <w:pPr>
        <w:widowControl w:val="0"/>
        <w:ind w:left="720" w:hanging="720"/>
        <w:jc w:val="both"/>
        <w:rPr>
          <w:b/>
        </w:rPr>
      </w:pPr>
    </w:p>
    <w:p w:rsidR="00BC31D3" w:rsidRPr="001661B1" w:rsidRDefault="00104AD7" w:rsidP="002644B8">
      <w:pPr>
        <w:widowControl w:val="0"/>
        <w:ind w:left="720"/>
        <w:jc w:val="both"/>
        <w:rPr>
          <w:b/>
        </w:rPr>
      </w:pPr>
      <w:r w:rsidRPr="001661B1">
        <w:rPr>
          <w:b/>
        </w:rPr>
        <w:t>Spot and Forward Foreign Exchange Markets</w:t>
      </w:r>
      <w:r w:rsidR="00A40581" w:rsidRPr="001661B1">
        <w:rPr>
          <w:b/>
        </w:rPr>
        <w:t xml:space="preserve">, </w:t>
      </w:r>
      <w:r w:rsidRPr="001661B1">
        <w:rPr>
          <w:b/>
        </w:rPr>
        <w:t xml:space="preserve">Transaction Exchange </w:t>
      </w:r>
      <w:r w:rsidR="00BC31D3" w:rsidRPr="001661B1">
        <w:rPr>
          <w:b/>
        </w:rPr>
        <w:t>Risks</w:t>
      </w:r>
      <w:r w:rsidRPr="001661B1">
        <w:rPr>
          <w:b/>
        </w:rPr>
        <w:t>, and Interest Rate Parity</w:t>
      </w:r>
    </w:p>
    <w:p w:rsidR="00BC31D3" w:rsidRDefault="00BC31D3" w:rsidP="00BC31D3">
      <w:pPr>
        <w:widowControl w:val="0"/>
        <w:jc w:val="both"/>
      </w:pPr>
    </w:p>
    <w:p w:rsidR="00BC31D3" w:rsidRDefault="00BC31D3" w:rsidP="00BC31D3">
      <w:pPr>
        <w:widowControl w:val="0"/>
        <w:jc w:val="both"/>
      </w:pPr>
      <w:r>
        <w:tab/>
      </w:r>
      <w:r w:rsidR="00C53A67">
        <w:t>Bekaert and Hodrick</w:t>
      </w:r>
      <w:r>
        <w:t>, Chapter 2, The Foreign Exchange Market</w:t>
      </w:r>
    </w:p>
    <w:p w:rsidR="00D377C7" w:rsidRDefault="00BC31D3" w:rsidP="004C34C6">
      <w:pPr>
        <w:ind w:right="-720"/>
      </w:pPr>
      <w:r>
        <w:tab/>
      </w:r>
      <w:r w:rsidR="00C53A67">
        <w:t>Bekaert and Hodrick</w:t>
      </w:r>
      <w:r>
        <w:t>, Chapter 3, Forward</w:t>
      </w:r>
      <w:r w:rsidR="00CB6CB3">
        <w:t xml:space="preserve"> Markets and </w:t>
      </w:r>
      <w:r w:rsidR="004C34C6">
        <w:t>T</w:t>
      </w:r>
      <w:r w:rsidR="00412B7D">
        <w:t>ransaction</w:t>
      </w:r>
      <w:r w:rsidR="00CB6CB3">
        <w:t xml:space="preserve"> Exchange Risk</w:t>
      </w:r>
    </w:p>
    <w:p w:rsidR="00104AD7" w:rsidRDefault="00104AD7" w:rsidP="00104AD7">
      <w:pPr>
        <w:ind w:right="-720" w:firstLine="720"/>
      </w:pPr>
      <w:r>
        <w:t>Bekaert and Hodrick, Chapter 6, Interest Rate Parity</w:t>
      </w:r>
    </w:p>
    <w:p w:rsidR="00412B7D" w:rsidRDefault="00412B7D" w:rsidP="004C34C6">
      <w:pPr>
        <w:widowControl w:val="0"/>
        <w:jc w:val="both"/>
      </w:pPr>
    </w:p>
    <w:p w:rsidR="00412B7D" w:rsidRPr="001661B1" w:rsidRDefault="00104AD7" w:rsidP="002644B8">
      <w:pPr>
        <w:widowControl w:val="0"/>
        <w:ind w:left="720"/>
        <w:jc w:val="both"/>
        <w:rPr>
          <w:b/>
        </w:rPr>
      </w:pPr>
      <w:r w:rsidRPr="001661B1">
        <w:rPr>
          <w:b/>
        </w:rPr>
        <w:t>Hedging Transactions Risk with Foreign Currency Options</w:t>
      </w:r>
    </w:p>
    <w:p w:rsidR="00967922" w:rsidRDefault="00967922" w:rsidP="004C34C6">
      <w:pPr>
        <w:jc w:val="both"/>
      </w:pPr>
    </w:p>
    <w:p w:rsidR="00104AD7" w:rsidRDefault="00104AD7" w:rsidP="00104AD7">
      <w:pPr>
        <w:widowControl w:val="0"/>
        <w:ind w:firstLine="720"/>
        <w:jc w:val="both"/>
      </w:pPr>
      <w:r>
        <w:t>Bekaert and Hodrick, Chapters 20, Foreign Currency Futures and Options</w:t>
      </w:r>
    </w:p>
    <w:p w:rsidR="002644B8" w:rsidRDefault="004F0259" w:rsidP="002644B8">
      <w:pPr>
        <w:widowControl w:val="0"/>
        <w:ind w:firstLine="720"/>
        <w:jc w:val="both"/>
      </w:pPr>
      <w:r>
        <w:t xml:space="preserve">Hedging Currency Risks </w:t>
      </w:r>
      <w:r w:rsidR="00F23FA8">
        <w:t xml:space="preserve">at </w:t>
      </w:r>
      <w:r w:rsidR="002644B8">
        <w:t>AIFS, HBS Case 9-205-026</w:t>
      </w:r>
    </w:p>
    <w:p w:rsidR="002644B8" w:rsidRDefault="002644B8" w:rsidP="002644B8">
      <w:pPr>
        <w:widowControl w:val="0"/>
        <w:ind w:firstLine="720"/>
        <w:jc w:val="both"/>
      </w:pPr>
    </w:p>
    <w:p w:rsidR="004C34C6" w:rsidRPr="002644B8" w:rsidRDefault="00104AD7" w:rsidP="002644B8">
      <w:pPr>
        <w:widowControl w:val="0"/>
        <w:ind w:firstLine="720"/>
        <w:jc w:val="both"/>
      </w:pPr>
      <w:r w:rsidRPr="001661B1">
        <w:rPr>
          <w:b/>
        </w:rPr>
        <w:t>International Financing with Exchange Risk</w:t>
      </w:r>
    </w:p>
    <w:p w:rsidR="004C34C6" w:rsidRDefault="004C34C6" w:rsidP="004C34C6">
      <w:pPr>
        <w:jc w:val="both"/>
      </w:pPr>
    </w:p>
    <w:p w:rsidR="00104AD7" w:rsidRPr="0036097E" w:rsidRDefault="00104AD7" w:rsidP="0036097E">
      <w:pPr>
        <w:widowControl w:val="0"/>
        <w:ind w:firstLine="720"/>
        <w:jc w:val="both"/>
      </w:pPr>
      <w:r>
        <w:t>Sallie Mae: Reverse Yen PERLS Issue, UVA Case F-850</w:t>
      </w:r>
    </w:p>
    <w:p w:rsidR="009F4CD2" w:rsidRDefault="009F4CD2" w:rsidP="00104AD7">
      <w:pPr>
        <w:widowControl w:val="0"/>
        <w:jc w:val="both"/>
        <w:rPr>
          <w:b/>
        </w:rPr>
      </w:pPr>
    </w:p>
    <w:p w:rsidR="009F4CD2" w:rsidRDefault="009F4CD2" w:rsidP="009F4CD2">
      <w:pPr>
        <w:widowControl w:val="0"/>
        <w:ind w:firstLine="720"/>
        <w:jc w:val="both"/>
        <w:rPr>
          <w:b/>
        </w:rPr>
      </w:pPr>
      <w:r w:rsidRPr="001661B1">
        <w:rPr>
          <w:b/>
        </w:rPr>
        <w:t>FX Risk Premiums</w:t>
      </w:r>
    </w:p>
    <w:p w:rsidR="009F4CD2" w:rsidRDefault="009F4CD2" w:rsidP="009F4CD2">
      <w:pPr>
        <w:widowControl w:val="0"/>
        <w:ind w:firstLine="720"/>
        <w:jc w:val="both"/>
        <w:rPr>
          <w:b/>
        </w:rPr>
      </w:pPr>
    </w:p>
    <w:p w:rsidR="009F4CD2" w:rsidRDefault="009F4CD2" w:rsidP="009F4CD2">
      <w:pPr>
        <w:widowControl w:val="0"/>
        <w:ind w:firstLine="720"/>
        <w:jc w:val="both"/>
        <w:rPr>
          <w:b/>
        </w:rPr>
      </w:pPr>
      <w:r>
        <w:t>Bekaert and Hodrick, Chapter 7,</w:t>
      </w:r>
      <w:r w:rsidRPr="004C34C6">
        <w:t xml:space="preserve"> Speculation and Risk in the Foreign Exchange Market</w:t>
      </w:r>
    </w:p>
    <w:p w:rsidR="00EE114B" w:rsidRDefault="00EE114B" w:rsidP="009F4CD2">
      <w:pPr>
        <w:widowControl w:val="0"/>
        <w:jc w:val="both"/>
        <w:rPr>
          <w:b/>
        </w:rPr>
      </w:pPr>
    </w:p>
    <w:p w:rsidR="00A1336F" w:rsidRDefault="00892962" w:rsidP="00A1336F">
      <w:pPr>
        <w:widowControl w:val="0"/>
        <w:jc w:val="both"/>
        <w:rPr>
          <w:b/>
        </w:rPr>
      </w:pPr>
      <w:r>
        <w:rPr>
          <w:b/>
        </w:rPr>
        <w:lastRenderedPageBreak/>
        <w:t>Day 2</w:t>
      </w:r>
      <w:r w:rsidR="00A1336F">
        <w:rPr>
          <w:b/>
        </w:rPr>
        <w:t>:</w:t>
      </w:r>
    </w:p>
    <w:p w:rsidR="00A1336F" w:rsidRDefault="00A1336F" w:rsidP="00A1336F">
      <w:pPr>
        <w:widowControl w:val="0"/>
        <w:jc w:val="both"/>
        <w:rPr>
          <w:b/>
        </w:rPr>
      </w:pPr>
    </w:p>
    <w:p w:rsidR="00104AD7" w:rsidRDefault="00104AD7" w:rsidP="00A1336F">
      <w:pPr>
        <w:widowControl w:val="0"/>
        <w:jc w:val="both"/>
        <w:rPr>
          <w:b/>
        </w:rPr>
      </w:pPr>
      <w:r w:rsidRPr="00B30B8D">
        <w:rPr>
          <w:b/>
        </w:rPr>
        <w:t>Prices and Real Operating Exposure</w:t>
      </w:r>
    </w:p>
    <w:p w:rsidR="004C34C6" w:rsidRDefault="004C34C6" w:rsidP="004C34C6">
      <w:pPr>
        <w:widowControl w:val="0"/>
        <w:jc w:val="both"/>
      </w:pPr>
    </w:p>
    <w:p w:rsidR="004C34C6" w:rsidRPr="001661B1" w:rsidRDefault="00104AD7" w:rsidP="00A1336F">
      <w:pPr>
        <w:widowControl w:val="0"/>
        <w:ind w:firstLine="720"/>
        <w:jc w:val="both"/>
        <w:rPr>
          <w:b/>
        </w:rPr>
      </w:pPr>
      <w:r w:rsidRPr="001661B1">
        <w:rPr>
          <w:b/>
        </w:rPr>
        <w:t>Purchasing Power Parity and Real Exchange Rates</w:t>
      </w:r>
    </w:p>
    <w:p w:rsidR="00EC6583" w:rsidRDefault="00EC6583" w:rsidP="004C34C6">
      <w:pPr>
        <w:widowControl w:val="0"/>
        <w:jc w:val="both"/>
      </w:pPr>
    </w:p>
    <w:p w:rsidR="00104AD7" w:rsidRDefault="00104AD7" w:rsidP="00104AD7">
      <w:pPr>
        <w:ind w:firstLine="720"/>
        <w:jc w:val="both"/>
      </w:pPr>
      <w:r>
        <w:t>Bekaert and Hodrick, Chapter 8,</w:t>
      </w:r>
      <w:r w:rsidRPr="00B30B8D">
        <w:t xml:space="preserve"> Purchasing Power Parity</w:t>
      </w:r>
      <w:r>
        <w:t xml:space="preserve"> and Real Exchange Rates</w:t>
      </w:r>
    </w:p>
    <w:p w:rsidR="00F31D0C" w:rsidRDefault="00F31D0C" w:rsidP="004C34C6">
      <w:pPr>
        <w:widowControl w:val="0"/>
        <w:jc w:val="both"/>
        <w:rPr>
          <w:b/>
        </w:rPr>
      </w:pPr>
    </w:p>
    <w:p w:rsidR="00B30B8D" w:rsidRPr="001661B1" w:rsidRDefault="00104AD7" w:rsidP="00A1336F">
      <w:pPr>
        <w:ind w:firstLine="720"/>
        <w:rPr>
          <w:b/>
        </w:rPr>
      </w:pPr>
      <w:r w:rsidRPr="001661B1">
        <w:rPr>
          <w:b/>
        </w:rPr>
        <w:t>Managing Real Economic Exposure</w:t>
      </w:r>
    </w:p>
    <w:p w:rsidR="00104AD7" w:rsidRDefault="00104AD7" w:rsidP="00C53A67"/>
    <w:p w:rsidR="00B30B8D" w:rsidRPr="00B30B8D" w:rsidRDefault="00104AD7" w:rsidP="009F4CD2">
      <w:pPr>
        <w:ind w:firstLine="720"/>
      </w:pPr>
      <w:r>
        <w:t xml:space="preserve">Bekaert and Hodrick, Chapter 9, Measuring and Managing </w:t>
      </w:r>
      <w:r w:rsidRPr="00B30B8D">
        <w:t>Real Exchange Risk</w:t>
      </w:r>
      <w:r w:rsidR="00B30B8D">
        <w:tab/>
      </w:r>
    </w:p>
    <w:p w:rsidR="00104AD7" w:rsidRDefault="00104AD7" w:rsidP="00104AD7">
      <w:pPr>
        <w:widowControl w:val="0"/>
        <w:jc w:val="both"/>
        <w:rPr>
          <w:b/>
        </w:rPr>
      </w:pPr>
    </w:p>
    <w:p w:rsidR="00104AD7" w:rsidRDefault="00104AD7" w:rsidP="00104AD7">
      <w:pPr>
        <w:widowControl w:val="0"/>
        <w:jc w:val="both"/>
      </w:pPr>
      <w:r>
        <w:rPr>
          <w:b/>
        </w:rPr>
        <w:t>Basic International Capital Budgeting</w:t>
      </w:r>
    </w:p>
    <w:p w:rsidR="00EB20A9" w:rsidRDefault="00EB20A9" w:rsidP="00B30B8D"/>
    <w:p w:rsidR="00B30B8D" w:rsidRPr="001661B1" w:rsidRDefault="00104AD7" w:rsidP="00A1336F">
      <w:pPr>
        <w:ind w:firstLine="720"/>
        <w:rPr>
          <w:b/>
        </w:rPr>
      </w:pPr>
      <w:r w:rsidRPr="001661B1">
        <w:rPr>
          <w:b/>
        </w:rPr>
        <w:t>The International Cost of Capital</w:t>
      </w:r>
    </w:p>
    <w:p w:rsidR="00B30B8D" w:rsidRPr="009A09BD" w:rsidRDefault="00B30B8D" w:rsidP="00B30B8D">
      <w:pPr>
        <w:rPr>
          <w:rFonts w:ascii="Arial" w:hAnsi="Arial" w:cs="Arial"/>
        </w:rPr>
      </w:pPr>
    </w:p>
    <w:p w:rsidR="00104AD7" w:rsidRDefault="00104AD7" w:rsidP="00104AD7">
      <w:pPr>
        <w:ind w:left="720"/>
        <w:jc w:val="both"/>
        <w:rPr>
          <w:bCs/>
        </w:rPr>
      </w:pPr>
      <w:r>
        <w:t xml:space="preserve">Bekaert and Hodrick, </w:t>
      </w:r>
      <w:r w:rsidRPr="0074158C">
        <w:rPr>
          <w:bCs/>
        </w:rPr>
        <w:t>Ch</w:t>
      </w:r>
      <w:r>
        <w:rPr>
          <w:bCs/>
        </w:rPr>
        <w:t xml:space="preserve">apter 13, </w:t>
      </w:r>
      <w:r w:rsidRPr="0074158C">
        <w:rPr>
          <w:bCs/>
        </w:rPr>
        <w:t>International Capital Market Equilibrium</w:t>
      </w:r>
    </w:p>
    <w:p w:rsidR="00682BB2" w:rsidRDefault="00682BB2" w:rsidP="00682BB2"/>
    <w:p w:rsidR="00104AD7" w:rsidRPr="001661B1" w:rsidRDefault="00104AD7" w:rsidP="00A1336F">
      <w:pPr>
        <w:widowControl w:val="0"/>
        <w:ind w:firstLine="720"/>
        <w:jc w:val="both"/>
        <w:rPr>
          <w:b/>
        </w:rPr>
      </w:pPr>
      <w:r w:rsidRPr="001661B1">
        <w:rPr>
          <w:b/>
        </w:rPr>
        <w:t>Adjusted Net Present Value in an International Context</w:t>
      </w:r>
    </w:p>
    <w:p w:rsidR="00104AD7" w:rsidRDefault="00104AD7" w:rsidP="00104AD7">
      <w:pPr>
        <w:widowControl w:val="0"/>
        <w:jc w:val="both"/>
      </w:pPr>
    </w:p>
    <w:p w:rsidR="00104AD7" w:rsidRPr="00F23FA8" w:rsidRDefault="00104AD7" w:rsidP="00F23FA8">
      <w:pPr>
        <w:widowControl w:val="0"/>
        <w:ind w:left="720"/>
        <w:jc w:val="both"/>
      </w:pPr>
      <w:r>
        <w:t>Bekaert and Hodrick, Chapters 15, International Capital Budgeting</w:t>
      </w:r>
      <w:r w:rsidR="00F23FA8">
        <w:t xml:space="preserve"> including the </w:t>
      </w:r>
      <w:r w:rsidRPr="00F23FA8">
        <w:t>International Wood Products Case</w:t>
      </w:r>
    </w:p>
    <w:p w:rsidR="0074158C" w:rsidRDefault="0074158C" w:rsidP="0074158C">
      <w:pPr>
        <w:widowControl w:val="0"/>
        <w:jc w:val="both"/>
      </w:pPr>
    </w:p>
    <w:p w:rsidR="003842D3" w:rsidRDefault="00A1336F" w:rsidP="00D008E7">
      <w:pPr>
        <w:widowControl w:val="0"/>
        <w:jc w:val="both"/>
        <w:rPr>
          <w:b/>
        </w:rPr>
      </w:pPr>
      <w:r>
        <w:rPr>
          <w:b/>
        </w:rPr>
        <w:t xml:space="preserve">Day 3: </w:t>
      </w:r>
    </w:p>
    <w:p w:rsidR="003842D3" w:rsidRDefault="003842D3" w:rsidP="00D008E7">
      <w:pPr>
        <w:widowControl w:val="0"/>
        <w:jc w:val="both"/>
        <w:rPr>
          <w:b/>
        </w:rPr>
      </w:pPr>
    </w:p>
    <w:p w:rsidR="00A1336F" w:rsidRDefault="00A1336F" w:rsidP="00D008E7">
      <w:pPr>
        <w:widowControl w:val="0"/>
        <w:jc w:val="both"/>
        <w:rPr>
          <w:b/>
        </w:rPr>
      </w:pPr>
      <w:r>
        <w:rPr>
          <w:b/>
        </w:rPr>
        <w:t>International Valuation</w:t>
      </w:r>
    </w:p>
    <w:p w:rsidR="00A1336F" w:rsidRDefault="00A1336F" w:rsidP="00D008E7">
      <w:pPr>
        <w:widowControl w:val="0"/>
        <w:jc w:val="both"/>
        <w:rPr>
          <w:b/>
        </w:rPr>
      </w:pPr>
    </w:p>
    <w:p w:rsidR="00D008E7" w:rsidRPr="0036097E" w:rsidRDefault="00D008E7" w:rsidP="00D008E7">
      <w:pPr>
        <w:widowControl w:val="0"/>
        <w:jc w:val="both"/>
      </w:pPr>
      <w:r>
        <w:tab/>
        <w:t>Valuing a Cross-Border LBO: Bidding on the Yell Group, HBS Case 9-204-033</w:t>
      </w:r>
    </w:p>
    <w:p w:rsidR="008868F3" w:rsidRDefault="008868F3" w:rsidP="00104AD7">
      <w:pPr>
        <w:widowControl w:val="0"/>
        <w:jc w:val="both"/>
      </w:pPr>
    </w:p>
    <w:p w:rsidR="00D008E7" w:rsidRDefault="00D008E7" w:rsidP="00F23FA8">
      <w:pPr>
        <w:widowControl w:val="0"/>
        <w:ind w:left="720"/>
        <w:jc w:val="both"/>
      </w:pPr>
      <w:r>
        <w:t>Bekaert and Hodrick, Chapter 16, Advanced Topics in International Capital Budgeting</w:t>
      </w:r>
      <w:r w:rsidR="00F23FA8">
        <w:t xml:space="preserve"> including the Consolidated Machine Tools Case.</w:t>
      </w:r>
    </w:p>
    <w:p w:rsidR="004006A4" w:rsidRDefault="004006A4" w:rsidP="004006A4">
      <w:pPr>
        <w:widowControl w:val="0"/>
        <w:jc w:val="both"/>
      </w:pPr>
    </w:p>
    <w:p w:rsidR="00D008E7" w:rsidRPr="001661B1" w:rsidRDefault="00D008E7" w:rsidP="003842D3">
      <w:pPr>
        <w:widowControl w:val="0"/>
        <w:ind w:firstLine="720"/>
        <w:jc w:val="both"/>
        <w:rPr>
          <w:b/>
        </w:rPr>
      </w:pPr>
      <w:r w:rsidRPr="001661B1">
        <w:rPr>
          <w:b/>
        </w:rPr>
        <w:t>Political Risk</w:t>
      </w:r>
    </w:p>
    <w:p w:rsidR="00D008E7" w:rsidRDefault="00D008E7" w:rsidP="00D008E7">
      <w:pPr>
        <w:widowControl w:val="0"/>
        <w:jc w:val="both"/>
      </w:pPr>
    </w:p>
    <w:p w:rsidR="00D008E7" w:rsidRPr="003842D3" w:rsidRDefault="00D008E7" w:rsidP="003842D3">
      <w:pPr>
        <w:ind w:firstLine="720"/>
        <w:jc w:val="both"/>
      </w:pPr>
      <w:r>
        <w:t>Bekaert and Hodrick, Chapter 14, Political and Country Risk</w:t>
      </w:r>
    </w:p>
    <w:p w:rsidR="00D008E7" w:rsidRDefault="00D008E7" w:rsidP="00D008E7">
      <w:pPr>
        <w:jc w:val="both"/>
      </w:pPr>
    </w:p>
    <w:p w:rsidR="00D008E7" w:rsidRPr="00E4243F" w:rsidRDefault="00D008E7" w:rsidP="00D008E7">
      <w:pPr>
        <w:jc w:val="both"/>
        <w:rPr>
          <w:b/>
        </w:rPr>
      </w:pPr>
      <w:r>
        <w:tab/>
        <w:t>Globalizing the Cost of Capital and Capital Budgeting at AES, HBS Case 9-204-109</w:t>
      </w:r>
    </w:p>
    <w:p w:rsidR="00E4243F" w:rsidRDefault="00E4243F" w:rsidP="00E4243F">
      <w:pPr>
        <w:ind w:firstLine="720"/>
        <w:jc w:val="both"/>
      </w:pPr>
    </w:p>
    <w:p w:rsidR="003842D3" w:rsidRDefault="00892962" w:rsidP="00D008E7">
      <w:pPr>
        <w:widowControl w:val="0"/>
        <w:jc w:val="both"/>
        <w:rPr>
          <w:b/>
        </w:rPr>
      </w:pPr>
      <w:r>
        <w:rPr>
          <w:b/>
        </w:rPr>
        <w:t>Day 4</w:t>
      </w:r>
      <w:r w:rsidR="00E4243F" w:rsidRPr="001661B1">
        <w:rPr>
          <w:b/>
        </w:rPr>
        <w:t xml:space="preserve">: </w:t>
      </w:r>
    </w:p>
    <w:p w:rsidR="003842D3" w:rsidRDefault="003842D3" w:rsidP="00D008E7">
      <w:pPr>
        <w:widowControl w:val="0"/>
        <w:jc w:val="both"/>
        <w:rPr>
          <w:b/>
        </w:rPr>
      </w:pPr>
    </w:p>
    <w:p w:rsidR="00D008E7" w:rsidRPr="001661B1" w:rsidRDefault="00D008E7" w:rsidP="00D008E7">
      <w:pPr>
        <w:widowControl w:val="0"/>
        <w:jc w:val="both"/>
        <w:rPr>
          <w:b/>
        </w:rPr>
      </w:pPr>
      <w:r w:rsidRPr="001661B1">
        <w:rPr>
          <w:b/>
        </w:rPr>
        <w:t xml:space="preserve">Valuation in Emerging Markets </w:t>
      </w:r>
    </w:p>
    <w:p w:rsidR="00D008E7" w:rsidRDefault="00D008E7" w:rsidP="00D008E7">
      <w:pPr>
        <w:widowControl w:val="0"/>
        <w:jc w:val="both"/>
      </w:pPr>
    </w:p>
    <w:p w:rsidR="001661B1" w:rsidRDefault="00D008E7" w:rsidP="00D008E7">
      <w:pPr>
        <w:widowControl w:val="0"/>
        <w:jc w:val="both"/>
      </w:pPr>
      <w:r>
        <w:tab/>
        <w:t>Brazilian Beer Negotiations: Companhia Cervejaria Brahma, S.A., UVA Case UV0277</w:t>
      </w:r>
    </w:p>
    <w:p w:rsidR="00A032CC" w:rsidRDefault="00A032CC" w:rsidP="00A032CC">
      <w:pPr>
        <w:widowControl w:val="0"/>
        <w:ind w:firstLine="720"/>
        <w:jc w:val="both"/>
      </w:pPr>
    </w:p>
    <w:p w:rsidR="00A032CC" w:rsidRDefault="00A032CC" w:rsidP="00A032CC">
      <w:pPr>
        <w:widowControl w:val="0"/>
        <w:ind w:firstLine="720"/>
        <w:jc w:val="both"/>
      </w:pPr>
      <w:r>
        <w:t>Inbev and Anheuser-Busch, Thunderbird Case TB0251</w:t>
      </w:r>
    </w:p>
    <w:p w:rsidR="001661B1" w:rsidRDefault="001661B1" w:rsidP="00D008E7">
      <w:pPr>
        <w:widowControl w:val="0"/>
        <w:jc w:val="both"/>
        <w:rPr>
          <w:b/>
        </w:rPr>
      </w:pPr>
    </w:p>
    <w:p w:rsidR="00E4243F" w:rsidRPr="0036097E" w:rsidRDefault="00D008E7" w:rsidP="0036097E">
      <w:pPr>
        <w:widowControl w:val="0"/>
        <w:ind w:firstLine="720"/>
        <w:jc w:val="both"/>
      </w:pPr>
      <w:r w:rsidRPr="001661B1">
        <w:lastRenderedPageBreak/>
        <w:t>Drilling South, Petrobras Evaluates Pecom</w:t>
      </w:r>
      <w:r w:rsidR="006E25B2" w:rsidRPr="001661B1">
        <w:t>, HBS Case 9-204-043</w:t>
      </w:r>
    </w:p>
    <w:p w:rsidR="00F31D0C" w:rsidRDefault="00F31D0C" w:rsidP="001265E1">
      <w:pPr>
        <w:widowControl w:val="0"/>
        <w:jc w:val="both"/>
        <w:rPr>
          <w:b/>
        </w:rPr>
      </w:pPr>
    </w:p>
    <w:p w:rsidR="00217FA5" w:rsidRPr="001661B1" w:rsidRDefault="00217FA5" w:rsidP="00217FA5">
      <w:pPr>
        <w:widowControl w:val="0"/>
        <w:jc w:val="both"/>
        <w:rPr>
          <w:b/>
        </w:rPr>
      </w:pPr>
      <w:r w:rsidRPr="001661B1">
        <w:rPr>
          <w:b/>
        </w:rPr>
        <w:t>Risk Management and ANPV</w:t>
      </w:r>
    </w:p>
    <w:p w:rsidR="00217FA5" w:rsidRDefault="00217FA5" w:rsidP="00217FA5">
      <w:pPr>
        <w:widowControl w:val="0"/>
        <w:jc w:val="both"/>
      </w:pPr>
    </w:p>
    <w:p w:rsidR="00D008E7" w:rsidRDefault="00217FA5" w:rsidP="00217FA5">
      <w:pPr>
        <w:widowControl w:val="0"/>
        <w:ind w:left="720"/>
        <w:jc w:val="both"/>
      </w:pPr>
      <w:r>
        <w:t>Bekaert and Hodrick, Chapter 17, Risk Management and the Foreign Currency Hedging Decision</w:t>
      </w:r>
    </w:p>
    <w:p w:rsidR="001265E1" w:rsidRDefault="001265E1" w:rsidP="001265E1">
      <w:pPr>
        <w:widowControl w:val="0"/>
        <w:jc w:val="both"/>
      </w:pPr>
    </w:p>
    <w:p w:rsidR="00D008E7" w:rsidRPr="001661B1" w:rsidRDefault="00EE7592" w:rsidP="00217FA5">
      <w:pPr>
        <w:widowControl w:val="0"/>
        <w:ind w:firstLine="720"/>
        <w:jc w:val="both"/>
        <w:rPr>
          <w:b/>
        </w:rPr>
      </w:pPr>
      <w:r w:rsidRPr="001661B1">
        <w:rPr>
          <w:b/>
        </w:rPr>
        <w:t>Risk</w:t>
      </w:r>
      <w:r w:rsidR="00D008E7" w:rsidRPr="001661B1">
        <w:rPr>
          <w:b/>
        </w:rPr>
        <w:t xml:space="preserve"> Management</w:t>
      </w:r>
      <w:r w:rsidRPr="001661B1">
        <w:rPr>
          <w:b/>
        </w:rPr>
        <w:t xml:space="preserve"> at GM</w:t>
      </w:r>
    </w:p>
    <w:p w:rsidR="00D008E7" w:rsidRDefault="00D008E7" w:rsidP="00D008E7">
      <w:pPr>
        <w:widowControl w:val="0"/>
        <w:jc w:val="both"/>
      </w:pPr>
    </w:p>
    <w:p w:rsidR="00D008E7" w:rsidRDefault="00D008E7" w:rsidP="00D008E7">
      <w:pPr>
        <w:widowControl w:val="0"/>
        <w:ind w:left="720"/>
        <w:jc w:val="both"/>
      </w:pPr>
      <w:r>
        <w:t>Foreign Exchange Hedging Strategies at General Motors: Transactional and Translational Exposures, HBS Case 9-205-095</w:t>
      </w:r>
    </w:p>
    <w:p w:rsidR="00D008E7" w:rsidRDefault="00D008E7" w:rsidP="00D008E7">
      <w:pPr>
        <w:widowControl w:val="0"/>
        <w:ind w:left="720" w:hanging="720"/>
        <w:jc w:val="both"/>
      </w:pPr>
      <w:r>
        <w:tab/>
        <w:t>Foreign Exchange Hedging Strategies at General Motors: Competitive Exposures, HBS Case 9-205-096</w:t>
      </w:r>
    </w:p>
    <w:p w:rsidR="00652FC9" w:rsidRDefault="00652FC9" w:rsidP="00D008E7">
      <w:pPr>
        <w:widowControl w:val="0"/>
        <w:ind w:left="720" w:hanging="720"/>
        <w:jc w:val="both"/>
      </w:pPr>
    </w:p>
    <w:p w:rsidR="000C1E1E" w:rsidRDefault="00892962" w:rsidP="00892962">
      <w:pPr>
        <w:widowControl w:val="0"/>
        <w:ind w:left="720" w:hanging="720"/>
        <w:jc w:val="both"/>
        <w:rPr>
          <w:b/>
        </w:rPr>
      </w:pPr>
      <w:r>
        <w:rPr>
          <w:b/>
        </w:rPr>
        <w:t>Day 5</w:t>
      </w:r>
      <w:r w:rsidR="00652FC9">
        <w:rPr>
          <w:b/>
        </w:rPr>
        <w:t>:</w:t>
      </w:r>
    </w:p>
    <w:p w:rsidR="00892962" w:rsidRPr="00892962" w:rsidRDefault="00892962" w:rsidP="00892962">
      <w:pPr>
        <w:widowControl w:val="0"/>
        <w:ind w:left="720" w:hanging="720"/>
        <w:jc w:val="both"/>
        <w:rPr>
          <w:b/>
        </w:rPr>
      </w:pPr>
    </w:p>
    <w:p w:rsidR="0023407D" w:rsidRPr="001661B1" w:rsidRDefault="00D008E7" w:rsidP="00D008E7">
      <w:pPr>
        <w:widowControl w:val="0"/>
        <w:jc w:val="both"/>
        <w:rPr>
          <w:b/>
        </w:rPr>
      </w:pPr>
      <w:r w:rsidRPr="001661B1">
        <w:rPr>
          <w:b/>
        </w:rPr>
        <w:t>A Chinese IPO</w:t>
      </w:r>
    </w:p>
    <w:p w:rsidR="00D008E7" w:rsidRDefault="00D008E7" w:rsidP="00D008E7">
      <w:pPr>
        <w:widowControl w:val="0"/>
        <w:jc w:val="both"/>
      </w:pPr>
    </w:p>
    <w:p w:rsidR="00D008E7" w:rsidRDefault="00D008E7" w:rsidP="00D008E7">
      <w:pPr>
        <w:widowControl w:val="0"/>
        <w:jc w:val="both"/>
      </w:pPr>
      <w:r>
        <w:tab/>
        <w:t>Baidu.com Inc.: Valuation at IPO</w:t>
      </w:r>
      <w:r w:rsidR="00DE546D">
        <w:t>, Stanford Case A-197</w:t>
      </w:r>
    </w:p>
    <w:p w:rsidR="000C1E1E" w:rsidRDefault="000C1E1E" w:rsidP="000C1E1E">
      <w:pPr>
        <w:widowControl w:val="0"/>
        <w:jc w:val="both"/>
        <w:rPr>
          <w:b/>
        </w:rPr>
      </w:pPr>
    </w:p>
    <w:p w:rsidR="000C1E1E" w:rsidRPr="001661B1" w:rsidRDefault="00652FC9" w:rsidP="000C1E1E">
      <w:pPr>
        <w:widowControl w:val="0"/>
        <w:jc w:val="both"/>
        <w:rPr>
          <w:b/>
        </w:rPr>
      </w:pPr>
      <w:r>
        <w:rPr>
          <w:b/>
        </w:rPr>
        <w:t>Financing an Acquisition in a Financial Crisis</w:t>
      </w:r>
    </w:p>
    <w:p w:rsidR="000C1E1E" w:rsidRDefault="000C1E1E" w:rsidP="000C1E1E">
      <w:pPr>
        <w:widowControl w:val="0"/>
        <w:jc w:val="both"/>
      </w:pPr>
    </w:p>
    <w:p w:rsidR="000C1E1E" w:rsidRDefault="000C1E1E" w:rsidP="000C1E1E">
      <w:pPr>
        <w:widowControl w:val="0"/>
        <w:jc w:val="both"/>
      </w:pPr>
      <w:r>
        <w:tab/>
      </w:r>
      <w:r w:rsidR="00607C15">
        <w:t>Dow</w:t>
      </w:r>
      <w:r w:rsidR="00151225">
        <w:t xml:space="preserve">’s Bid for Rohm and Haas, HBS Case </w:t>
      </w:r>
      <w:r w:rsidR="00A40581">
        <w:t>9-211-020</w:t>
      </w:r>
    </w:p>
    <w:p w:rsidR="00652FC9" w:rsidRDefault="00652FC9" w:rsidP="000C1E1E">
      <w:pPr>
        <w:widowControl w:val="0"/>
        <w:jc w:val="both"/>
      </w:pPr>
    </w:p>
    <w:p w:rsidR="00652FC9" w:rsidRPr="00D008E7" w:rsidRDefault="00652FC9" w:rsidP="00652FC9">
      <w:pPr>
        <w:widowControl w:val="0"/>
        <w:jc w:val="both"/>
        <w:rPr>
          <w:b/>
          <w:lang w:val="pt-BR"/>
        </w:rPr>
      </w:pPr>
      <w:r>
        <w:rPr>
          <w:b/>
          <w:lang w:val="pt-BR"/>
        </w:rPr>
        <w:t>Privatization</w:t>
      </w:r>
    </w:p>
    <w:p w:rsidR="00652FC9" w:rsidRDefault="00652FC9" w:rsidP="00652FC9">
      <w:pPr>
        <w:widowControl w:val="0"/>
        <w:jc w:val="both"/>
      </w:pPr>
    </w:p>
    <w:p w:rsidR="00652FC9" w:rsidRPr="0036097E" w:rsidRDefault="00652FC9" w:rsidP="0036097E">
      <w:pPr>
        <w:widowControl w:val="0"/>
        <w:ind w:firstLine="720"/>
        <w:jc w:val="both"/>
      </w:pPr>
      <w:r>
        <w:t>Jaguar plc, 1984, HBS Case 9-290-005</w:t>
      </w:r>
    </w:p>
    <w:p w:rsidR="00652FC9" w:rsidRDefault="00652FC9" w:rsidP="000C1E1E">
      <w:pPr>
        <w:widowControl w:val="0"/>
        <w:jc w:val="both"/>
      </w:pPr>
    </w:p>
    <w:sectPr w:rsidR="00652FC9" w:rsidSect="007217FB">
      <w:footerReference w:type="even" r:id="rId8"/>
      <w:footerReference w:type="default" r:id="rId9"/>
      <w:pgSz w:w="12240" w:h="15840"/>
      <w:pgMar w:top="1440" w:right="108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7E98" w:rsidRDefault="00A27E98">
      <w:r>
        <w:separator/>
      </w:r>
    </w:p>
  </w:endnote>
  <w:endnote w:type="continuationSeparator" w:id="0">
    <w:p w:rsidR="00A27E98" w:rsidRDefault="00A27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61FE" w:rsidRDefault="00650095" w:rsidP="008B74F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261F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261FE" w:rsidRDefault="005261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61FE" w:rsidRDefault="00650095" w:rsidP="008B74F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261F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857CC">
      <w:rPr>
        <w:rStyle w:val="PageNumber"/>
        <w:noProof/>
      </w:rPr>
      <w:t>2</w:t>
    </w:r>
    <w:r>
      <w:rPr>
        <w:rStyle w:val="PageNumber"/>
      </w:rPr>
      <w:fldChar w:fldCharType="end"/>
    </w:r>
  </w:p>
  <w:p w:rsidR="005261FE" w:rsidRDefault="005261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7E98" w:rsidRDefault="00A27E98">
      <w:r>
        <w:separator/>
      </w:r>
    </w:p>
  </w:footnote>
  <w:footnote w:type="continuationSeparator" w:id="0">
    <w:p w:rsidR="00A27E98" w:rsidRDefault="00A27E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F2053B"/>
    <w:multiLevelType w:val="hybridMultilevel"/>
    <w:tmpl w:val="A04E7D6E"/>
    <w:lvl w:ilvl="0" w:tplc="5086831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0E42AE"/>
    <w:multiLevelType w:val="hybridMultilevel"/>
    <w:tmpl w:val="39EC665E"/>
    <w:lvl w:ilvl="0" w:tplc="B0261E5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7934014"/>
    <w:multiLevelType w:val="hybridMultilevel"/>
    <w:tmpl w:val="F696A19A"/>
    <w:lvl w:ilvl="0" w:tplc="8AFEBF64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E474826"/>
    <w:multiLevelType w:val="multilevel"/>
    <w:tmpl w:val="39EC665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1D3"/>
    <w:rsid w:val="00005E05"/>
    <w:rsid w:val="0001116E"/>
    <w:rsid w:val="00013476"/>
    <w:rsid w:val="000251EF"/>
    <w:rsid w:val="00035FE4"/>
    <w:rsid w:val="00045BB9"/>
    <w:rsid w:val="000520C8"/>
    <w:rsid w:val="0005230D"/>
    <w:rsid w:val="000877D2"/>
    <w:rsid w:val="000A18D8"/>
    <w:rsid w:val="000B39DD"/>
    <w:rsid w:val="000B778E"/>
    <w:rsid w:val="000C1E1E"/>
    <w:rsid w:val="000F1A3F"/>
    <w:rsid w:val="000F780E"/>
    <w:rsid w:val="00101D12"/>
    <w:rsid w:val="00104AD7"/>
    <w:rsid w:val="00106020"/>
    <w:rsid w:val="00107EB4"/>
    <w:rsid w:val="00111EE1"/>
    <w:rsid w:val="0011561F"/>
    <w:rsid w:val="001265E1"/>
    <w:rsid w:val="00126844"/>
    <w:rsid w:val="0014689E"/>
    <w:rsid w:val="00151225"/>
    <w:rsid w:val="00164B30"/>
    <w:rsid w:val="001661B1"/>
    <w:rsid w:val="00172A56"/>
    <w:rsid w:val="001837B0"/>
    <w:rsid w:val="001A4B33"/>
    <w:rsid w:val="001B7EB4"/>
    <w:rsid w:val="001C709A"/>
    <w:rsid w:val="001E6EEB"/>
    <w:rsid w:val="00206663"/>
    <w:rsid w:val="00217FA5"/>
    <w:rsid w:val="0023407D"/>
    <w:rsid w:val="00241FD0"/>
    <w:rsid w:val="002518BA"/>
    <w:rsid w:val="002644B8"/>
    <w:rsid w:val="002717A9"/>
    <w:rsid w:val="0027207F"/>
    <w:rsid w:val="0027511B"/>
    <w:rsid w:val="0028597C"/>
    <w:rsid w:val="002A2721"/>
    <w:rsid w:val="00307999"/>
    <w:rsid w:val="0031226D"/>
    <w:rsid w:val="00342117"/>
    <w:rsid w:val="00355D65"/>
    <w:rsid w:val="0036097E"/>
    <w:rsid w:val="00371F0A"/>
    <w:rsid w:val="003842D3"/>
    <w:rsid w:val="003C0FF0"/>
    <w:rsid w:val="003E30A3"/>
    <w:rsid w:val="003E3179"/>
    <w:rsid w:val="003F0F8B"/>
    <w:rsid w:val="004006A4"/>
    <w:rsid w:val="00411EFC"/>
    <w:rsid w:val="00412B7D"/>
    <w:rsid w:val="004254A1"/>
    <w:rsid w:val="00454BA4"/>
    <w:rsid w:val="004747D9"/>
    <w:rsid w:val="00482214"/>
    <w:rsid w:val="00487EA8"/>
    <w:rsid w:val="004C34C6"/>
    <w:rsid w:val="004C6D21"/>
    <w:rsid w:val="004C7156"/>
    <w:rsid w:val="004F0259"/>
    <w:rsid w:val="005261FE"/>
    <w:rsid w:val="005326CA"/>
    <w:rsid w:val="005526DF"/>
    <w:rsid w:val="005629E8"/>
    <w:rsid w:val="00585B8E"/>
    <w:rsid w:val="005A7007"/>
    <w:rsid w:val="005C37A7"/>
    <w:rsid w:val="005D0A1E"/>
    <w:rsid w:val="005D0ECB"/>
    <w:rsid w:val="005F0E60"/>
    <w:rsid w:val="00607C15"/>
    <w:rsid w:val="00611458"/>
    <w:rsid w:val="00615275"/>
    <w:rsid w:val="00642580"/>
    <w:rsid w:val="006471A8"/>
    <w:rsid w:val="00650095"/>
    <w:rsid w:val="006502E2"/>
    <w:rsid w:val="00652FC9"/>
    <w:rsid w:val="00654C4F"/>
    <w:rsid w:val="006562D8"/>
    <w:rsid w:val="00682BB2"/>
    <w:rsid w:val="0069308C"/>
    <w:rsid w:val="00695BA3"/>
    <w:rsid w:val="006B2648"/>
    <w:rsid w:val="006C1D60"/>
    <w:rsid w:val="006E1C84"/>
    <w:rsid w:val="006E25B2"/>
    <w:rsid w:val="006F41A9"/>
    <w:rsid w:val="006F5A87"/>
    <w:rsid w:val="00701128"/>
    <w:rsid w:val="007217FB"/>
    <w:rsid w:val="00733930"/>
    <w:rsid w:val="00736233"/>
    <w:rsid w:val="0074158C"/>
    <w:rsid w:val="00750940"/>
    <w:rsid w:val="00777801"/>
    <w:rsid w:val="00782D04"/>
    <w:rsid w:val="007A5105"/>
    <w:rsid w:val="007A5F90"/>
    <w:rsid w:val="007A7660"/>
    <w:rsid w:val="007B4EC3"/>
    <w:rsid w:val="007C11B2"/>
    <w:rsid w:val="007E4974"/>
    <w:rsid w:val="007E7D13"/>
    <w:rsid w:val="00800B99"/>
    <w:rsid w:val="00815A30"/>
    <w:rsid w:val="00817515"/>
    <w:rsid w:val="00835D7B"/>
    <w:rsid w:val="00847866"/>
    <w:rsid w:val="00850DA3"/>
    <w:rsid w:val="008557B4"/>
    <w:rsid w:val="00872789"/>
    <w:rsid w:val="00874D60"/>
    <w:rsid w:val="008830EF"/>
    <w:rsid w:val="008868F3"/>
    <w:rsid w:val="00891F62"/>
    <w:rsid w:val="00892962"/>
    <w:rsid w:val="00892E2D"/>
    <w:rsid w:val="008B74F6"/>
    <w:rsid w:val="008C6EAB"/>
    <w:rsid w:val="008E2452"/>
    <w:rsid w:val="00937C48"/>
    <w:rsid w:val="00955BF5"/>
    <w:rsid w:val="00967922"/>
    <w:rsid w:val="00985BCC"/>
    <w:rsid w:val="009A4652"/>
    <w:rsid w:val="009C3D03"/>
    <w:rsid w:val="009D24E2"/>
    <w:rsid w:val="009F4CD2"/>
    <w:rsid w:val="00A032CC"/>
    <w:rsid w:val="00A03D08"/>
    <w:rsid w:val="00A10942"/>
    <w:rsid w:val="00A1336F"/>
    <w:rsid w:val="00A170F3"/>
    <w:rsid w:val="00A256FA"/>
    <w:rsid w:val="00A27E98"/>
    <w:rsid w:val="00A40581"/>
    <w:rsid w:val="00A416B9"/>
    <w:rsid w:val="00A64BC3"/>
    <w:rsid w:val="00A7089A"/>
    <w:rsid w:val="00A7325C"/>
    <w:rsid w:val="00A81B30"/>
    <w:rsid w:val="00A857CC"/>
    <w:rsid w:val="00AD6809"/>
    <w:rsid w:val="00AF410C"/>
    <w:rsid w:val="00B01130"/>
    <w:rsid w:val="00B04D2E"/>
    <w:rsid w:val="00B30B8D"/>
    <w:rsid w:val="00B3359B"/>
    <w:rsid w:val="00B41C48"/>
    <w:rsid w:val="00B62D4C"/>
    <w:rsid w:val="00B66F9E"/>
    <w:rsid w:val="00B835DF"/>
    <w:rsid w:val="00BC31D3"/>
    <w:rsid w:val="00BE0E1F"/>
    <w:rsid w:val="00BF1079"/>
    <w:rsid w:val="00C41464"/>
    <w:rsid w:val="00C53A67"/>
    <w:rsid w:val="00C72C18"/>
    <w:rsid w:val="00C83EE3"/>
    <w:rsid w:val="00CA7857"/>
    <w:rsid w:val="00CB1B9E"/>
    <w:rsid w:val="00CB3AEE"/>
    <w:rsid w:val="00CB6CB3"/>
    <w:rsid w:val="00CC38E2"/>
    <w:rsid w:val="00D008E7"/>
    <w:rsid w:val="00D34644"/>
    <w:rsid w:val="00D377C7"/>
    <w:rsid w:val="00D47A6C"/>
    <w:rsid w:val="00D63B42"/>
    <w:rsid w:val="00D84114"/>
    <w:rsid w:val="00D85248"/>
    <w:rsid w:val="00D879DF"/>
    <w:rsid w:val="00D93D83"/>
    <w:rsid w:val="00DE546D"/>
    <w:rsid w:val="00DF1131"/>
    <w:rsid w:val="00DF30C0"/>
    <w:rsid w:val="00DF4802"/>
    <w:rsid w:val="00E037A5"/>
    <w:rsid w:val="00E05250"/>
    <w:rsid w:val="00E0682B"/>
    <w:rsid w:val="00E40BBA"/>
    <w:rsid w:val="00E4243F"/>
    <w:rsid w:val="00E42DA7"/>
    <w:rsid w:val="00E7243D"/>
    <w:rsid w:val="00E80225"/>
    <w:rsid w:val="00EB20A9"/>
    <w:rsid w:val="00EC13C4"/>
    <w:rsid w:val="00EC6583"/>
    <w:rsid w:val="00ED32FD"/>
    <w:rsid w:val="00EE114B"/>
    <w:rsid w:val="00EE1B84"/>
    <w:rsid w:val="00EE7592"/>
    <w:rsid w:val="00EF2714"/>
    <w:rsid w:val="00F1588B"/>
    <w:rsid w:val="00F23FA8"/>
    <w:rsid w:val="00F26B26"/>
    <w:rsid w:val="00F31D0C"/>
    <w:rsid w:val="00F855F1"/>
    <w:rsid w:val="00F92A9A"/>
    <w:rsid w:val="00F95AE0"/>
    <w:rsid w:val="00FB3D6E"/>
    <w:rsid w:val="00FF4396"/>
    <w:rsid w:val="00FF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5A9216"/>
  <w15:docId w15:val="{235EB8A4-DE9A-474C-9CAA-C79FE5425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265E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217FB"/>
    <w:rPr>
      <w:color w:val="0000FF"/>
      <w:u w:val="single"/>
    </w:rPr>
  </w:style>
  <w:style w:type="paragraph" w:styleId="Footer">
    <w:name w:val="footer"/>
    <w:basedOn w:val="Normal"/>
    <w:rsid w:val="007217F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217FB"/>
  </w:style>
  <w:style w:type="paragraph" w:styleId="BalloonText">
    <w:name w:val="Balloon Text"/>
    <w:basedOn w:val="Normal"/>
    <w:link w:val="BalloonTextChar"/>
    <w:rsid w:val="007011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011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93F69-0DCB-45B1-AAB7-333A7EF55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Schedule</vt:lpstr>
    </vt:vector>
  </TitlesOfParts>
  <Company>Columbia Business School</Company>
  <LinksUpToDate>false</LinksUpToDate>
  <CharactersWithSpaces>5690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</dc:title>
  <dc:creator>Hodrick, Robert</dc:creator>
  <cp:lastModifiedBy>Hodrick, Robert</cp:lastModifiedBy>
  <cp:revision>2</cp:revision>
  <cp:lastPrinted>2018-03-15T22:36:00Z</cp:lastPrinted>
  <dcterms:created xsi:type="dcterms:W3CDTF">2019-03-19T23:46:00Z</dcterms:created>
  <dcterms:modified xsi:type="dcterms:W3CDTF">2019-03-19T23:46:00Z</dcterms:modified>
</cp:coreProperties>
</file>