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Default="00AB1CCD" w:rsidP="00AB1CCD">
      <w:pPr>
        <w:jc w:val="center"/>
        <w:rPr>
          <w:rFonts w:ascii="Arial" w:eastAsia="Gulim" w:hAnsi="Arial" w:cs="Arial"/>
          <w:b/>
          <w:sz w:val="22"/>
          <w:szCs w:val="22"/>
        </w:rPr>
      </w:pPr>
    </w:p>
    <w:p w:rsidR="00EB39B7" w:rsidRPr="0059476B" w:rsidRDefault="00EB39B7"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050"/>
        <w:gridCol w:w="630"/>
        <w:gridCol w:w="4500"/>
      </w:tblGrid>
      <w:tr w:rsidR="00EB39B7" w:rsidRPr="000B0F35" w:rsidTr="00B54CE5">
        <w:trPr>
          <w:trHeight w:val="1332"/>
        </w:trPr>
        <w:tc>
          <w:tcPr>
            <w:tcW w:w="4050" w:type="dxa"/>
          </w:tcPr>
          <w:p w:rsidR="00EB39B7" w:rsidRPr="00127736" w:rsidRDefault="00EB39B7" w:rsidP="00525967">
            <w:pPr>
              <w:rPr>
                <w:rFonts w:ascii="Arial" w:eastAsia="Gulim" w:hAnsi="Arial" w:cs="Arial"/>
                <w:b/>
                <w:sz w:val="22"/>
                <w:szCs w:val="22"/>
              </w:rPr>
            </w:pPr>
            <w:r w:rsidRPr="00127736">
              <w:rPr>
                <w:rFonts w:ascii="Arial" w:eastAsia="Gulim" w:hAnsi="Arial" w:cs="Arial"/>
                <w:b/>
                <w:sz w:val="22"/>
                <w:szCs w:val="22"/>
              </w:rPr>
              <w:t>Entrepreneurial Finance</w:t>
            </w:r>
          </w:p>
          <w:p w:rsidR="00EB39B7" w:rsidRPr="005C1F39" w:rsidRDefault="00EB39B7" w:rsidP="00525967">
            <w:pPr>
              <w:rPr>
                <w:rFonts w:ascii="Arial" w:eastAsia="Gulim" w:hAnsi="Arial" w:cs="Arial"/>
                <w:sz w:val="22"/>
                <w:szCs w:val="22"/>
              </w:rPr>
            </w:pPr>
            <w:r w:rsidRPr="005C1F39">
              <w:rPr>
                <w:rFonts w:ascii="Arial" w:eastAsia="Gulim" w:hAnsi="Arial" w:cs="Arial"/>
                <w:sz w:val="22"/>
                <w:szCs w:val="22"/>
              </w:rPr>
              <w:t xml:space="preserve">Finance </w:t>
            </w:r>
            <w:r>
              <w:rPr>
                <w:rFonts w:ascii="Arial" w:eastAsia="Gulim" w:hAnsi="Arial" w:cs="Arial"/>
                <w:sz w:val="22"/>
                <w:szCs w:val="22"/>
              </w:rPr>
              <w:t xml:space="preserve">B </w:t>
            </w:r>
            <w:r w:rsidR="00C01D17">
              <w:rPr>
                <w:rFonts w:ascii="Arial" w:eastAsia="Gulim" w:hAnsi="Arial" w:cs="Arial"/>
                <w:sz w:val="22"/>
                <w:szCs w:val="22"/>
              </w:rPr>
              <w:t>7</w:t>
            </w:r>
            <w:r>
              <w:rPr>
                <w:rFonts w:ascii="Arial" w:eastAsia="Gulim" w:hAnsi="Arial" w:cs="Arial"/>
                <w:sz w:val="22"/>
                <w:szCs w:val="22"/>
              </w:rPr>
              <w:t>345</w:t>
            </w:r>
          </w:p>
          <w:p w:rsidR="00EB39B7" w:rsidRDefault="00EB39B7" w:rsidP="00525967">
            <w:pPr>
              <w:rPr>
                <w:rFonts w:ascii="Arial" w:eastAsia="Gulim" w:hAnsi="Arial" w:cs="Arial"/>
                <w:sz w:val="22"/>
                <w:szCs w:val="22"/>
              </w:rPr>
            </w:pPr>
            <w:r w:rsidRPr="005C1F39">
              <w:rPr>
                <w:rFonts w:ascii="Arial" w:eastAsia="Gulim" w:hAnsi="Arial" w:cs="Arial"/>
                <w:sz w:val="22"/>
                <w:szCs w:val="22"/>
              </w:rPr>
              <w:t xml:space="preserve">Division of Finance and Economics </w:t>
            </w:r>
          </w:p>
          <w:p w:rsidR="00EB39B7" w:rsidRPr="005C1F39" w:rsidRDefault="00C01D17" w:rsidP="00525967">
            <w:pPr>
              <w:rPr>
                <w:rFonts w:ascii="Arial" w:eastAsia="Gulim" w:hAnsi="Arial" w:cs="Arial"/>
                <w:sz w:val="22"/>
                <w:szCs w:val="22"/>
              </w:rPr>
            </w:pPr>
            <w:r>
              <w:rPr>
                <w:rFonts w:ascii="Arial" w:eastAsia="Gulim" w:hAnsi="Arial" w:cs="Arial"/>
                <w:sz w:val="22"/>
                <w:szCs w:val="22"/>
              </w:rPr>
              <w:t>Spring 2017</w:t>
            </w:r>
          </w:p>
          <w:p w:rsidR="00EB39B7" w:rsidRPr="005C1F39" w:rsidRDefault="00C01D17" w:rsidP="00525967">
            <w:pPr>
              <w:rPr>
                <w:rFonts w:ascii="Arial" w:eastAsia="Gulim" w:hAnsi="Arial" w:cs="Arial"/>
                <w:sz w:val="22"/>
                <w:szCs w:val="22"/>
              </w:rPr>
            </w:pPr>
            <w:r>
              <w:rPr>
                <w:rFonts w:ascii="Arial" w:eastAsia="Gulim" w:hAnsi="Arial" w:cs="Arial"/>
                <w:sz w:val="22"/>
                <w:szCs w:val="22"/>
              </w:rPr>
              <w:t>January 9 – January 13, 2017</w:t>
            </w:r>
          </w:p>
          <w:p w:rsidR="00EB39B7" w:rsidRDefault="00EB39B7" w:rsidP="00525967">
            <w:pPr>
              <w:rPr>
                <w:rFonts w:ascii="Arial" w:eastAsia="Gulim" w:hAnsi="Arial" w:cs="Arial"/>
                <w:sz w:val="22"/>
                <w:szCs w:val="22"/>
              </w:rPr>
            </w:pPr>
            <w:r w:rsidRPr="00740912">
              <w:rPr>
                <w:rFonts w:ascii="Arial" w:eastAsia="Gulim" w:hAnsi="Arial" w:cs="Arial"/>
                <w:sz w:val="22"/>
                <w:szCs w:val="22"/>
              </w:rPr>
              <w:t>8:00 AM – 6:00 PM</w:t>
            </w:r>
          </w:p>
          <w:p w:rsidR="00EB39B7" w:rsidRPr="008151E5" w:rsidRDefault="00EB39B7" w:rsidP="00525967">
            <w:pPr>
              <w:rPr>
                <w:rFonts w:ascii="Arial" w:eastAsia="Gulim" w:hAnsi="Arial" w:cs="Arial"/>
                <w:sz w:val="22"/>
                <w:szCs w:val="22"/>
              </w:rPr>
            </w:pPr>
            <w:r>
              <w:rPr>
                <w:rFonts w:ascii="Arial" w:eastAsia="Gulim" w:hAnsi="Arial" w:cs="Arial"/>
                <w:sz w:val="22"/>
                <w:szCs w:val="22"/>
              </w:rPr>
              <w:t>Uris 142</w:t>
            </w:r>
          </w:p>
          <w:p w:rsidR="00EB39B7" w:rsidRPr="000B0F35" w:rsidRDefault="00EB39B7" w:rsidP="00525967">
            <w:pPr>
              <w:rPr>
                <w:rFonts w:ascii="Arial" w:eastAsia="Gulim" w:hAnsi="Arial" w:cs="Arial"/>
                <w:sz w:val="22"/>
                <w:szCs w:val="22"/>
                <w:u w:val="single"/>
              </w:rPr>
            </w:pPr>
          </w:p>
        </w:tc>
        <w:tc>
          <w:tcPr>
            <w:tcW w:w="630" w:type="dxa"/>
          </w:tcPr>
          <w:p w:rsidR="00EB39B7" w:rsidRPr="000B0F35" w:rsidRDefault="00EB39B7" w:rsidP="00525967">
            <w:pPr>
              <w:rPr>
                <w:rFonts w:ascii="Arial" w:eastAsia="Gulim" w:hAnsi="Arial" w:cs="Arial"/>
                <w:sz w:val="22"/>
                <w:szCs w:val="22"/>
                <w:u w:val="single"/>
              </w:rPr>
            </w:pPr>
          </w:p>
        </w:tc>
        <w:tc>
          <w:tcPr>
            <w:tcW w:w="4500" w:type="dxa"/>
          </w:tcPr>
          <w:p w:rsidR="00EB39B7" w:rsidRPr="00AF484B" w:rsidRDefault="00EB39B7" w:rsidP="00525967">
            <w:pPr>
              <w:jc w:val="right"/>
              <w:rPr>
                <w:rFonts w:ascii="Arial" w:eastAsia="Gulim" w:hAnsi="Arial" w:cs="Arial"/>
                <w:sz w:val="22"/>
                <w:szCs w:val="22"/>
                <w:lang w:val="de-DE"/>
              </w:rPr>
            </w:pPr>
            <w:r w:rsidRPr="00AF484B">
              <w:rPr>
                <w:rFonts w:ascii="Arial" w:eastAsia="Gulim" w:hAnsi="Arial" w:cs="Arial"/>
                <w:sz w:val="22"/>
                <w:szCs w:val="22"/>
                <w:lang w:val="de-DE"/>
              </w:rPr>
              <w:t>Glenn Hubbard/Uris 101</w:t>
            </w:r>
          </w:p>
          <w:p w:rsidR="00EB39B7" w:rsidRPr="00AF484B" w:rsidRDefault="00FF512D" w:rsidP="00525967">
            <w:pPr>
              <w:jc w:val="right"/>
              <w:rPr>
                <w:rFonts w:ascii="Arial" w:eastAsia="Gulim" w:hAnsi="Arial" w:cs="Arial"/>
                <w:sz w:val="22"/>
                <w:szCs w:val="22"/>
                <w:lang w:val="de-DE"/>
              </w:rPr>
            </w:pPr>
            <w:hyperlink r:id="rId7" w:history="1">
              <w:r w:rsidR="00B54CE5" w:rsidRPr="00CF1E07">
                <w:rPr>
                  <w:rStyle w:val="Hyperlink"/>
                  <w:rFonts w:ascii="Arial" w:eastAsia="Gulim" w:hAnsi="Arial" w:cs="Arial"/>
                  <w:b/>
                  <w:bCs/>
                  <w:sz w:val="22"/>
                  <w:szCs w:val="22"/>
                  <w:lang w:val="de-DE"/>
                </w:rPr>
                <w:t>rgh1@gsb.columbia.edu</w:t>
              </w:r>
            </w:hyperlink>
            <w:r w:rsidR="00EB39B7" w:rsidRPr="00AF484B">
              <w:rPr>
                <w:rFonts w:ascii="Arial" w:eastAsia="Gulim" w:hAnsi="Arial" w:cs="Arial"/>
                <w:b/>
                <w:bCs/>
                <w:sz w:val="22"/>
                <w:szCs w:val="22"/>
                <w:lang w:val="de-DE"/>
              </w:rPr>
              <w:t>/</w:t>
            </w:r>
            <w:r w:rsidR="00EB39B7">
              <w:rPr>
                <w:rFonts w:ascii="Arial" w:eastAsia="Gulim" w:hAnsi="Arial" w:cs="Arial"/>
                <w:sz w:val="22"/>
                <w:szCs w:val="22"/>
                <w:lang w:val="de-DE"/>
              </w:rPr>
              <w:t>854.</w:t>
            </w:r>
            <w:r w:rsidR="00EB39B7" w:rsidRPr="00AF484B">
              <w:rPr>
                <w:rFonts w:ascii="Arial" w:eastAsia="Gulim" w:hAnsi="Arial" w:cs="Arial"/>
                <w:sz w:val="22"/>
                <w:szCs w:val="22"/>
                <w:lang w:val="de-DE"/>
              </w:rPr>
              <w:t>2888</w:t>
            </w:r>
          </w:p>
          <w:p w:rsidR="00EB39B7" w:rsidRPr="00AF484B" w:rsidRDefault="00C01D17" w:rsidP="00525967">
            <w:pPr>
              <w:jc w:val="right"/>
              <w:rPr>
                <w:rFonts w:ascii="Arial" w:eastAsia="Gulim" w:hAnsi="Arial" w:cs="Arial"/>
                <w:sz w:val="22"/>
                <w:szCs w:val="22"/>
                <w:lang w:val="de-DE"/>
              </w:rPr>
            </w:pPr>
            <w:r>
              <w:rPr>
                <w:rFonts w:ascii="Arial" w:eastAsia="Gulim" w:hAnsi="Arial" w:cs="Arial"/>
                <w:sz w:val="22"/>
                <w:szCs w:val="22"/>
                <w:lang w:val="de-DE"/>
              </w:rPr>
              <w:t>Tetyana Babina/Uris 814</w:t>
            </w:r>
          </w:p>
          <w:p w:rsidR="00EB39B7" w:rsidRPr="00AF484B" w:rsidRDefault="00FF512D" w:rsidP="00525967">
            <w:pPr>
              <w:jc w:val="right"/>
              <w:rPr>
                <w:rFonts w:ascii="Arial" w:eastAsia="Gulim" w:hAnsi="Arial" w:cs="Arial"/>
                <w:b/>
                <w:sz w:val="22"/>
                <w:szCs w:val="22"/>
                <w:lang w:val="de-DE"/>
              </w:rPr>
            </w:pPr>
            <w:hyperlink r:id="rId8" w:history="1">
              <w:r w:rsidR="00C01D17" w:rsidRPr="00EE7066">
                <w:rPr>
                  <w:rStyle w:val="Hyperlink"/>
                  <w:rFonts w:ascii="Arial" w:eastAsia="Gulim" w:hAnsi="Arial" w:cs="Arial"/>
                  <w:b/>
                  <w:bCs/>
                  <w:sz w:val="22"/>
                  <w:szCs w:val="22"/>
                  <w:lang w:val="de-DE"/>
                </w:rPr>
                <w:t>tb2707@gsb.columbia.edu</w:t>
              </w:r>
            </w:hyperlink>
          </w:p>
          <w:p w:rsidR="00EB39B7" w:rsidRPr="00AF484B" w:rsidRDefault="00EB39B7" w:rsidP="00525967">
            <w:pPr>
              <w:jc w:val="right"/>
              <w:rPr>
                <w:rFonts w:ascii="Arial" w:eastAsia="Gulim" w:hAnsi="Arial" w:cs="Arial"/>
                <w:sz w:val="22"/>
                <w:szCs w:val="22"/>
              </w:rPr>
            </w:pPr>
            <w:r>
              <w:rPr>
                <w:rFonts w:ascii="Arial" w:eastAsia="Gulim" w:hAnsi="Arial" w:cs="Arial"/>
                <w:sz w:val="22"/>
                <w:szCs w:val="22"/>
              </w:rPr>
              <w:t>Morten Sorensen</w:t>
            </w:r>
          </w:p>
          <w:p w:rsidR="00EB39B7" w:rsidRPr="00AF484B" w:rsidRDefault="00FF512D" w:rsidP="00525967">
            <w:pPr>
              <w:jc w:val="right"/>
              <w:rPr>
                <w:rFonts w:ascii="Arial" w:eastAsia="Gulim" w:hAnsi="Arial" w:cs="Arial"/>
                <w:b/>
                <w:sz w:val="22"/>
                <w:szCs w:val="22"/>
              </w:rPr>
            </w:pPr>
            <w:hyperlink r:id="rId9" w:history="1">
              <w:r w:rsidR="00C01D17" w:rsidRPr="00EE7066">
                <w:rPr>
                  <w:rStyle w:val="Hyperlink"/>
                  <w:rFonts w:ascii="Arial" w:eastAsia="Gulim" w:hAnsi="Arial" w:cs="Arial"/>
                  <w:b/>
                  <w:sz w:val="22"/>
                  <w:szCs w:val="22"/>
                </w:rPr>
                <w:t>ms3814@gmail.com</w:t>
              </w:r>
            </w:hyperlink>
          </w:p>
          <w:p w:rsidR="00EB39B7" w:rsidRPr="00127736" w:rsidRDefault="00EB39B7" w:rsidP="00525967">
            <w:pPr>
              <w:jc w:val="right"/>
              <w:rPr>
                <w:rFonts w:ascii="Arial" w:eastAsia="Gulim" w:hAnsi="Arial" w:cs="Arial"/>
                <w:b/>
                <w:sz w:val="22"/>
                <w:szCs w:val="22"/>
              </w:rPr>
            </w:pPr>
            <w:r w:rsidRPr="00AF484B">
              <w:rPr>
                <w:rFonts w:ascii="Arial" w:eastAsia="Gulim" w:hAnsi="Arial" w:cs="Arial"/>
                <w:sz w:val="22"/>
                <w:szCs w:val="22"/>
              </w:rPr>
              <w:t>Office Hours: By appointment</w:t>
            </w:r>
          </w:p>
          <w:p w:rsidR="00EB39B7" w:rsidRPr="000B0F35" w:rsidRDefault="00EB39B7" w:rsidP="00525967">
            <w:pPr>
              <w:jc w:val="right"/>
              <w:rPr>
                <w:rFonts w:ascii="Arial" w:eastAsia="Gulim" w:hAnsi="Arial" w:cs="Arial"/>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193EAB">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considered in standard corporate finance: First, start-ups are young, mostly unprofitable companies, with </w:t>
      </w:r>
      <w:r w:rsidRPr="0059476B">
        <w:rPr>
          <w:rFonts w:ascii="Arial" w:eastAsia="Gulim" w:hAnsi="Arial" w:cs="Arial"/>
          <w:sz w:val="20"/>
          <w:szCs w:val="20"/>
        </w:rPr>
        <w:lastRenderedPageBreak/>
        <w:t>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7F1274">
        <w:rPr>
          <w:rFonts w:ascii="Arial" w:eastAsia="Gulim" w:hAnsi="Arial" w:cs="Arial"/>
          <w:sz w:val="20"/>
          <w:szCs w:val="20"/>
        </w:rPr>
        <w:t>overriding objectives</w:t>
      </w:r>
      <w:r w:rsidRPr="0059476B">
        <w:rPr>
          <w:rFonts w:ascii="Arial" w:eastAsia="Gulim" w:hAnsi="Arial" w:cs="Arial"/>
          <w:sz w:val="20"/>
          <w:szCs w:val="20"/>
        </w:rPr>
        <w:t>.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w:t>
      </w:r>
      <w:r w:rsidR="00FC1777">
        <w:rPr>
          <w:rFonts w:ascii="Arial" w:eastAsia="Gulim" w:hAnsi="Arial" w:cs="Arial"/>
          <w:sz w:val="20"/>
          <w:szCs w:val="20"/>
        </w:rPr>
        <w:t xml:space="preserve">Fiscal Note, </w:t>
      </w:r>
      <w:r>
        <w:rPr>
          <w:rFonts w:ascii="Arial" w:eastAsia="Gulim" w:hAnsi="Arial" w:cs="Arial"/>
          <w:sz w:val="20"/>
          <w:szCs w:val="20"/>
        </w:rPr>
        <w:t xml:space="preserve">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Pr>
          <w:rFonts w:ascii="Arial" w:eastAsia="Gulim" w:hAnsi="Arial" w:cs="Arial"/>
          <w:sz w:val="20"/>
          <w:szCs w:val="20"/>
        </w:rPr>
        <w:t xml:space="preserve">  </w:t>
      </w:r>
      <w:r w:rsidR="007F1274" w:rsidRPr="007F1274">
        <w:rPr>
          <w:rFonts w:ascii="Arial" w:eastAsia="Gulim" w:hAnsi="Arial" w:cs="Arial"/>
          <w:sz w:val="20"/>
          <w:szCs w:val="20"/>
        </w:rPr>
        <w:t xml:space="preserve">And, we will do a classroom negotiation to simulate and learn from the “real” conditions of a term negotiation.  </w:t>
      </w:r>
      <w:r w:rsidRPr="0059476B">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Limited partnership, partnership agreement, general and limited partners, management fees, carried interest, waterfall, early/late carry, clawback,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Write-ups are not required for the TDC Business Plan</w:t>
      </w:r>
      <w:r w:rsidR="00530518">
        <w:rPr>
          <w:rFonts w:ascii="Arial" w:eastAsia="Gulim" w:hAnsi="Arial" w:cs="Arial"/>
          <w:sz w:val="20"/>
          <w:szCs w:val="20"/>
        </w:rPr>
        <w:t xml:space="preserve">, </w:t>
      </w:r>
      <w:r w:rsidR="00FC1777">
        <w:rPr>
          <w:rFonts w:ascii="Arial" w:eastAsia="Gulim" w:hAnsi="Arial" w:cs="Arial"/>
          <w:sz w:val="20"/>
          <w:szCs w:val="20"/>
        </w:rPr>
        <w:t>Fiscal Note,</w:t>
      </w:r>
      <w:r w:rsidR="00193EAB">
        <w:rPr>
          <w:rFonts w:ascii="Arial" w:eastAsia="Gulim" w:hAnsi="Arial" w:cs="Arial"/>
          <w:sz w:val="20"/>
          <w:szCs w:val="20"/>
        </w:rPr>
        <w:t xml:space="preserve"> </w:t>
      </w:r>
      <w:r w:rsidR="00530518">
        <w:rPr>
          <w:rFonts w:ascii="Arial" w:eastAsia="Gulim" w:hAnsi="Arial" w:cs="Arial"/>
          <w:sz w:val="20"/>
          <w:szCs w:val="20"/>
        </w:rPr>
        <w:t>and Lotus</w:t>
      </w:r>
      <w:r>
        <w:rPr>
          <w:rFonts w:ascii="Arial" w:eastAsia="Gulim" w:hAnsi="Arial" w:cs="Arial"/>
          <w:sz w:val="20"/>
          <w:szCs w:val="20"/>
        </w:rPr>
        <w:t xml:space="preserv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5901A1">
        <w:rPr>
          <w:rFonts w:ascii="Arial" w:eastAsia="Gulim" w:hAnsi="Arial" w:cs="Arial"/>
          <w:sz w:val="20"/>
          <w:szCs w:val="20"/>
        </w:rPr>
        <w:t xml:space="preserve">Thursday, </w:t>
      </w:r>
      <w:r w:rsidR="00FC1777">
        <w:rPr>
          <w:rFonts w:ascii="Arial" w:eastAsia="Gulim" w:hAnsi="Arial" w:cs="Arial"/>
          <w:sz w:val="20"/>
          <w:szCs w:val="20"/>
        </w:rPr>
        <w:t>September 1</w:t>
      </w:r>
      <w:r w:rsidRPr="0059476B">
        <w:rPr>
          <w:rFonts w:ascii="Arial" w:eastAsia="Gulim" w:hAnsi="Arial" w:cs="Arial"/>
          <w:sz w:val="20"/>
          <w:szCs w:val="20"/>
        </w:rPr>
        <w:t xml:space="preserve">, to be submitted on the morning of </w:t>
      </w:r>
      <w:r w:rsidR="005901A1">
        <w:rPr>
          <w:rFonts w:ascii="Arial" w:eastAsia="Gulim" w:hAnsi="Arial" w:cs="Arial"/>
          <w:sz w:val="20"/>
          <w:szCs w:val="20"/>
        </w:rPr>
        <w:t xml:space="preserve">Friday, </w:t>
      </w:r>
      <w:r w:rsidR="00FC1777">
        <w:rPr>
          <w:rFonts w:ascii="Arial" w:eastAsia="Gulim" w:hAnsi="Arial" w:cs="Arial"/>
          <w:sz w:val="20"/>
          <w:szCs w:val="20"/>
        </w:rPr>
        <w:t>September 2</w:t>
      </w:r>
      <w:r w:rsidR="00EB39B7">
        <w:rPr>
          <w:rFonts w:ascii="Arial" w:eastAsia="Gulim" w:hAnsi="Arial" w:cs="Arial"/>
          <w:sz w:val="20"/>
          <w:szCs w:val="20"/>
        </w:rPr>
        <w:t>.</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hyperlink r:id="rId10" w:history="1">
        <w:r w:rsidRPr="0059476B">
          <w:rPr>
            <w:rFonts w:ascii="Arial" w:eastAsia="Gulim" w:hAnsi="Arial" w:cs="Arial"/>
            <w:sz w:val="20"/>
            <w:szCs w:val="20"/>
          </w:rPr>
          <w:t>http://library.columbia.edu/subject-guides/business/entrepreneurship.html</w:t>
        </w:r>
      </w:hyperlink>
      <w:r w:rsidRPr="0059476B">
        <w:rPr>
          <w:rFonts w:ascii="Arial" w:eastAsia="Gulim" w:hAnsi="Arial" w:cs="Arial"/>
          <w:sz w:val="20"/>
          <w:szCs w:val="20"/>
        </w:rPr>
        <w:t xml:space="preserve">.  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Default="00AB1CCD" w:rsidP="00AB1CCD">
      <w:pPr>
        <w:pStyle w:val="NormalWeb"/>
        <w:spacing w:before="0" w:beforeAutospacing="0" w:after="0" w:afterAutospacing="0"/>
        <w:ind w:right="-180"/>
        <w:rPr>
          <w:rFonts w:ascii="Arial" w:eastAsia="Gulim" w:hAnsi="Arial" w:cs="Arial"/>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11"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p w:rsidR="00AB1CCD" w:rsidRDefault="00AB1CCD" w:rsidP="00AB1CCD">
      <w:pPr>
        <w:pStyle w:val="NormalWeb"/>
        <w:spacing w:before="0" w:beforeAutospacing="0" w:after="0" w:afterAutospacing="0"/>
        <w:ind w:right="-180"/>
        <w:rPr>
          <w:rFonts w:ascii="Arial" w:eastAsia="Gulim" w:hAnsi="Arial" w:cs="Arial"/>
          <w:sz w:val="20"/>
          <w:szCs w:val="20"/>
        </w:rPr>
        <w:sectPr w:rsidR="00AB1CCD" w:rsidSect="004F2F91">
          <w:footerReference w:type="default" r:id="rId12"/>
          <w:pgSz w:w="12240" w:h="15840" w:code="1"/>
          <w:pgMar w:top="1440" w:right="1440" w:bottom="1440" w:left="1440" w:header="720" w:footer="720" w:gutter="0"/>
          <w:pgNumType w:fmt="lowerRoman"/>
          <w:cols w:space="720"/>
          <w:docGrid w:linePitch="360"/>
        </w:sectPr>
      </w:pPr>
    </w:p>
    <w:p w:rsidR="00EA4F47" w:rsidRDefault="00EA4F47" w:rsidP="00AB1CCD">
      <w:pPr>
        <w:pStyle w:val="NormalWeb"/>
        <w:spacing w:before="0" w:beforeAutospacing="0" w:after="0" w:afterAutospacing="0"/>
        <w:ind w:right="-180"/>
        <w:rPr>
          <w:rFonts w:ascii="Arial" w:eastAsia="Gulim" w:hAnsi="Arial" w:cs="Arial"/>
          <w:b/>
          <w:sz w:val="20"/>
          <w:szCs w:val="20"/>
        </w:rPr>
      </w:pPr>
    </w:p>
    <w:p w:rsidR="00AB1CCD" w:rsidRDefault="00F81A19" w:rsidP="00AB1CCD">
      <w:pPr>
        <w:pStyle w:val="NormalWeb"/>
        <w:spacing w:before="0" w:beforeAutospacing="0" w:after="0" w:afterAutospacing="0"/>
        <w:ind w:right="-180"/>
        <w:rPr>
          <w:rFonts w:ascii="Arial" w:eastAsia="Gulim" w:hAnsi="Arial" w:cs="Arial"/>
          <w:b/>
          <w:sz w:val="20"/>
          <w:szCs w:val="20"/>
        </w:rPr>
      </w:pPr>
      <w:r>
        <w:rPr>
          <w:rFonts w:ascii="Arial" w:eastAsia="Gulim" w:hAnsi="Arial" w:cs="Arial"/>
          <w:b/>
          <w:sz w:val="20"/>
          <w:szCs w:val="20"/>
        </w:rPr>
        <w:t>Game Plan</w:t>
      </w:r>
      <w:r w:rsidR="0077294D">
        <w:rPr>
          <w:rFonts w:ascii="Arial" w:eastAsia="Gulim" w:hAnsi="Arial" w:cs="Arial"/>
          <w:b/>
          <w:sz w:val="20"/>
          <w:szCs w:val="20"/>
        </w:rPr>
        <w:t xml:space="preserve"> – </w:t>
      </w:r>
      <w:r w:rsidR="001C2725">
        <w:rPr>
          <w:rFonts w:ascii="Arial" w:eastAsia="Gulim" w:hAnsi="Arial" w:cs="Arial"/>
          <w:b/>
          <w:sz w:val="20"/>
          <w:szCs w:val="20"/>
        </w:rPr>
        <w:t>S</w:t>
      </w:r>
      <w:r w:rsidR="004871EE">
        <w:rPr>
          <w:rFonts w:ascii="Arial" w:eastAsia="Gulim" w:hAnsi="Arial" w:cs="Arial"/>
          <w:b/>
          <w:sz w:val="20"/>
          <w:szCs w:val="20"/>
        </w:rPr>
        <w:t>P2017</w:t>
      </w:r>
    </w:p>
    <w:tbl>
      <w:tblPr>
        <w:tblpPr w:leftFromText="180" w:rightFromText="180" w:vertAnchor="page" w:horzAnchor="page" w:tblpX="956" w:tblpY="1081"/>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1251"/>
        <w:gridCol w:w="2790"/>
        <w:gridCol w:w="2959"/>
        <w:gridCol w:w="2052"/>
        <w:gridCol w:w="2091"/>
        <w:gridCol w:w="2108"/>
      </w:tblGrid>
      <w:tr w:rsidR="0015211D" w:rsidRPr="007F1614" w:rsidTr="008B74E9">
        <w:trPr>
          <w:trHeight w:val="44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15211D" w:rsidRPr="007F1614" w:rsidTr="008B74E9">
        <w:trPr>
          <w:trHeight w:val="53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Monday</w:t>
            </w:r>
            <w:r w:rsidR="00F126DA" w:rsidRPr="007F1614">
              <w:rPr>
                <w:rFonts w:ascii="Calibri" w:hAnsi="Calibri" w:cs="Calibri"/>
                <w:b/>
                <w:color w:val="000000" w:themeColor="text1"/>
                <w:sz w:val="18"/>
                <w:szCs w:val="20"/>
              </w:rPr>
              <w:t>,</w:t>
            </w:r>
          </w:p>
          <w:p w:rsidR="00F126DA" w:rsidRPr="007F1614" w:rsidRDefault="004871EE" w:rsidP="004871EE">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January </w:t>
            </w:r>
            <w:r w:rsidR="00FC1777">
              <w:rPr>
                <w:rFonts w:ascii="Calibri" w:hAnsi="Calibri" w:cs="Calibri"/>
                <w:color w:val="000000" w:themeColor="text1"/>
                <w:sz w:val="18"/>
                <w:szCs w:val="20"/>
              </w:rPr>
              <w:t>9</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Tuesday</w:t>
            </w:r>
            <w:r w:rsidR="00F126DA" w:rsidRPr="007F1614">
              <w:rPr>
                <w:rFonts w:ascii="Calibri" w:hAnsi="Calibri" w:cs="Calibri"/>
                <w:b/>
                <w:color w:val="000000" w:themeColor="text1"/>
                <w:sz w:val="18"/>
                <w:szCs w:val="20"/>
              </w:rPr>
              <w:t>,</w:t>
            </w:r>
          </w:p>
          <w:p w:rsidR="00F126DA" w:rsidRPr="007F1614" w:rsidRDefault="004871EE" w:rsidP="00E842A7">
            <w:pPr>
              <w:jc w:val="center"/>
              <w:rPr>
                <w:rFonts w:ascii="Calibri" w:hAnsi="Calibri" w:cs="Calibri"/>
                <w:color w:val="000000" w:themeColor="text1"/>
                <w:sz w:val="18"/>
                <w:szCs w:val="20"/>
              </w:rPr>
            </w:pPr>
            <w:r>
              <w:rPr>
                <w:rFonts w:ascii="Calibri" w:hAnsi="Calibri" w:cs="Calibri"/>
                <w:color w:val="000000" w:themeColor="text1"/>
                <w:sz w:val="18"/>
                <w:szCs w:val="20"/>
              </w:rPr>
              <w:t>January 10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Wednesday</w:t>
            </w:r>
            <w:r w:rsidR="00F126DA" w:rsidRPr="007F1614">
              <w:rPr>
                <w:rFonts w:ascii="Calibri" w:hAnsi="Calibri" w:cs="Calibri"/>
                <w:b/>
                <w:color w:val="000000" w:themeColor="text1"/>
                <w:sz w:val="18"/>
                <w:szCs w:val="20"/>
              </w:rPr>
              <w:t>,</w:t>
            </w:r>
          </w:p>
          <w:p w:rsidR="00F126DA" w:rsidRPr="007F1614" w:rsidRDefault="004871EE" w:rsidP="00E842A7">
            <w:pPr>
              <w:jc w:val="center"/>
              <w:rPr>
                <w:rFonts w:ascii="Calibri" w:hAnsi="Calibri" w:cs="Calibri"/>
                <w:color w:val="000000" w:themeColor="text1"/>
                <w:sz w:val="18"/>
                <w:szCs w:val="20"/>
              </w:rPr>
            </w:pPr>
            <w:r>
              <w:rPr>
                <w:rFonts w:ascii="Calibri" w:hAnsi="Calibri" w:cs="Calibri"/>
                <w:color w:val="000000" w:themeColor="text1"/>
                <w:sz w:val="18"/>
                <w:szCs w:val="20"/>
              </w:rPr>
              <w:t>January 1</w:t>
            </w:r>
            <w:r w:rsidR="00FC1777">
              <w:rPr>
                <w:rFonts w:ascii="Calibri" w:hAnsi="Calibri" w:cs="Calibri"/>
                <w:color w:val="000000" w:themeColor="text1"/>
                <w:sz w:val="18"/>
                <w:szCs w:val="20"/>
              </w:rPr>
              <w:t>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Thursday</w:t>
            </w:r>
            <w:r w:rsidR="00F126DA" w:rsidRPr="007F1614">
              <w:rPr>
                <w:rFonts w:ascii="Calibri" w:hAnsi="Calibri" w:cs="Calibri"/>
                <w:b/>
                <w:color w:val="000000" w:themeColor="text1"/>
                <w:sz w:val="18"/>
                <w:szCs w:val="20"/>
              </w:rPr>
              <w:t xml:space="preserve">, </w:t>
            </w:r>
          </w:p>
          <w:p w:rsidR="00F126DA" w:rsidRPr="007F1614" w:rsidRDefault="004871EE" w:rsidP="005901A1">
            <w:pPr>
              <w:jc w:val="center"/>
              <w:rPr>
                <w:rFonts w:ascii="Calibri" w:hAnsi="Calibri" w:cs="Calibri"/>
                <w:color w:val="000000" w:themeColor="text1"/>
                <w:sz w:val="18"/>
                <w:szCs w:val="20"/>
              </w:rPr>
            </w:pPr>
            <w:r>
              <w:rPr>
                <w:rFonts w:ascii="Calibri" w:hAnsi="Calibri" w:cs="Calibri"/>
                <w:color w:val="000000" w:themeColor="text1"/>
                <w:sz w:val="18"/>
                <w:szCs w:val="20"/>
              </w:rPr>
              <w:t>January 12</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Friday</w:t>
            </w:r>
            <w:r w:rsidR="00F126DA" w:rsidRPr="007F1614">
              <w:rPr>
                <w:rFonts w:ascii="Calibri" w:hAnsi="Calibri" w:cs="Calibri"/>
                <w:b/>
                <w:color w:val="000000" w:themeColor="text1"/>
                <w:sz w:val="18"/>
                <w:szCs w:val="20"/>
              </w:rPr>
              <w:t xml:space="preserve">, </w:t>
            </w:r>
          </w:p>
          <w:p w:rsidR="00F126DA" w:rsidRPr="007F1614" w:rsidRDefault="004871EE" w:rsidP="00E842A7">
            <w:pPr>
              <w:jc w:val="center"/>
              <w:rPr>
                <w:rFonts w:ascii="Calibri" w:hAnsi="Calibri" w:cs="Calibri"/>
                <w:color w:val="000000" w:themeColor="text1"/>
                <w:sz w:val="18"/>
                <w:szCs w:val="20"/>
              </w:rPr>
            </w:pPr>
            <w:r>
              <w:rPr>
                <w:rFonts w:ascii="Calibri" w:hAnsi="Calibri" w:cs="Calibri"/>
                <w:color w:val="000000" w:themeColor="text1"/>
                <w:sz w:val="18"/>
                <w:szCs w:val="20"/>
              </w:rPr>
              <w:t>January 13</w:t>
            </w:r>
          </w:p>
        </w:tc>
      </w:tr>
      <w:tr w:rsidR="0015211D" w:rsidRPr="007F1614" w:rsidTr="008B74E9">
        <w:trPr>
          <w:trHeight w:val="6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r w:rsidRPr="00A53600">
              <w:rPr>
                <w:rFonts w:ascii="Calibri" w:hAnsi="Calibri" w:cs="Calibri"/>
                <w:color w:val="000000" w:themeColor="text1"/>
                <w:sz w:val="18"/>
                <w:szCs w:val="20"/>
              </w:rPr>
              <w:t>Breakfast</w:t>
            </w:r>
          </w:p>
          <w:p w:rsidR="00F126DA" w:rsidRPr="00A53600" w:rsidRDefault="00F126DA" w:rsidP="00E842A7">
            <w:pPr>
              <w:jc w:val="right"/>
              <w:rPr>
                <w:rFonts w:ascii="Calibri" w:hAnsi="Calibri" w:cs="Calibri"/>
                <w:color w:val="000000" w:themeColor="text1"/>
                <w:sz w:val="18"/>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r>
      <w:tr w:rsidR="0015211D" w:rsidRPr="007F1614" w:rsidTr="008B74E9">
        <w:trPr>
          <w:trHeight w:val="71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Early 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(8:30) Introduction / Formation of groups</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D8B" w:rsidRPr="007F1614" w:rsidRDefault="00FD2D8B" w:rsidP="00FD2D8B">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Notes:</w:t>
            </w:r>
          </w:p>
          <w:p w:rsidR="00FD2D8B" w:rsidRPr="007F1614" w:rsidRDefault="00FD2D8B" w:rsidP="00FD2D8B">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Business Plans and Models</w:t>
            </w:r>
          </w:p>
          <w:p w:rsidR="00F126DA" w:rsidRPr="007F1614" w:rsidRDefault="00FD2D8B" w:rsidP="00FC177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w:t>
            </w:r>
            <w:r>
              <w:rPr>
                <w:rFonts w:ascii="Calibri" w:hAnsi="Calibri" w:cs="Calibri"/>
                <w:color w:val="000000" w:themeColor="text1"/>
                <w:sz w:val="18"/>
                <w:szCs w:val="20"/>
              </w:rPr>
              <w:t xml:space="preserve">s:  </w:t>
            </w:r>
            <w:r w:rsidR="00FC1777">
              <w:rPr>
                <w:rFonts w:ascii="Calibri" w:hAnsi="Calibri" w:cs="Calibri"/>
                <w:color w:val="000000" w:themeColor="text1"/>
                <w:sz w:val="18"/>
                <w:szCs w:val="20"/>
              </w:rPr>
              <w:t>Iqram Magdon-Ismail, Alan Patricof, and Ian Sigalow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Robert Reffkin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243C61" w:rsidP="00504CBB">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Guest: </w:t>
            </w:r>
            <w:r w:rsidR="00504CBB">
              <w:rPr>
                <w:rFonts w:ascii="Calibri" w:hAnsi="Calibri" w:cs="Calibri"/>
                <w:color w:val="000000" w:themeColor="text1"/>
                <w:sz w:val="18"/>
                <w:szCs w:val="20"/>
              </w:rPr>
              <w:t>Nina Tandon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A45AB4">
        <w:trPr>
          <w:trHeight w:val="59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C01D17" w:rsidP="00E842A7">
            <w:pPr>
              <w:jc w:val="center"/>
              <w:rPr>
                <w:rFonts w:ascii="Calibri" w:hAnsi="Calibri" w:cs="Calibri"/>
                <w:color w:val="000000" w:themeColor="text1"/>
                <w:sz w:val="18"/>
                <w:szCs w:val="20"/>
              </w:rPr>
            </w:pPr>
            <w:r>
              <w:rPr>
                <w:rFonts w:ascii="Calibri" w:hAnsi="Calibri" w:cs="Calibri"/>
                <w:color w:val="000000" w:themeColor="text1"/>
                <w:sz w:val="18"/>
                <w:szCs w:val="20"/>
              </w:rPr>
              <w:t>Venture Capital</w:t>
            </w:r>
          </w:p>
          <w:p w:rsidR="00243C61" w:rsidRPr="007F1614" w:rsidRDefault="00243C61" w:rsidP="00B57CD6">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w:t>
            </w:r>
            <w:r w:rsidR="00B57CD6">
              <w:rPr>
                <w:rFonts w:ascii="Calibri" w:hAnsi="Calibri" w:cs="Calibri"/>
                <w:color w:val="000000" w:themeColor="text1"/>
                <w:sz w:val="18"/>
                <w:szCs w:val="20"/>
              </w:rPr>
              <w:t>Ian Sigalow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91" w:type="dxa"/>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r w:rsidRPr="007F1614">
              <w:rPr>
                <w:rFonts w:ascii="Calibri" w:hAnsi="Calibri" w:cs="Calibri"/>
                <w:color w:val="000000" w:themeColor="text1"/>
                <w:sz w:val="18"/>
                <w:szCs w:val="20"/>
              </w:rPr>
              <w:t>Sunrise</w:t>
            </w:r>
            <w:r>
              <w:rPr>
                <w:rFonts w:ascii="Calibri" w:hAnsi="Calibri" w:cs="Calibri"/>
                <w:color w:val="000000" w:themeColor="text1"/>
                <w:sz w:val="18"/>
                <w:szCs w:val="20"/>
              </w:rPr>
              <w:t>:</w:t>
            </w:r>
            <w:r w:rsidRPr="007F1614">
              <w:rPr>
                <w:rFonts w:ascii="Calibri" w:hAnsi="Calibri" w:cs="Calibri"/>
                <w:color w:val="000000" w:themeColor="text1"/>
                <w:sz w:val="18"/>
                <w:szCs w:val="20"/>
              </w:rPr>
              <w:t xml:space="preserve"> Renegotiation</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r>
      <w:tr w:rsidR="0015211D" w:rsidRPr="007F1614" w:rsidTr="00BC2F1F">
        <w:trPr>
          <w:trHeight w:val="60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BD10F5">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p>
        </w:tc>
      </w:tr>
      <w:tr w:rsidR="0015211D" w:rsidRPr="007F1614" w:rsidTr="00BD10F5">
        <w:trPr>
          <w:trHeight w:val="879"/>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Noon Block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p>
        </w:tc>
        <w:tc>
          <w:tcPr>
            <w:tcW w:w="2959"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243C61">
            <w:pPr>
              <w:jc w:val="center"/>
              <w:rPr>
                <w:rFonts w:ascii="Calibri" w:hAnsi="Calibri" w:cs="Calibri"/>
                <w:color w:val="000000" w:themeColor="text1"/>
                <w:sz w:val="18"/>
                <w:szCs w:val="20"/>
              </w:rPr>
            </w:pPr>
            <w:r>
              <w:rPr>
                <w:rFonts w:ascii="Calibri" w:hAnsi="Calibri" w:cs="Calibri"/>
                <w:color w:val="000000" w:themeColor="text1"/>
                <w:sz w:val="18"/>
                <w:szCs w:val="20"/>
              </w:rPr>
              <w:t>11:0</w:t>
            </w:r>
            <w:r w:rsidRPr="007F1614">
              <w:rPr>
                <w:rFonts w:ascii="Calibri" w:hAnsi="Calibri" w:cs="Calibri"/>
                <w:color w:val="000000" w:themeColor="text1"/>
                <w:sz w:val="18"/>
                <w:szCs w:val="20"/>
              </w:rPr>
              <w:t>0 – 12:30</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Deal Terms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Hugh Merryweather</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1:00</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Early Lunch:</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ArthroCare</w:t>
            </w:r>
          </w:p>
          <w:p w:rsidR="00243C61" w:rsidRPr="007F1614" w:rsidRDefault="00243C61"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r>
      <w:tr w:rsidR="0015211D" w:rsidRPr="007F1614" w:rsidTr="008B74E9">
        <w:trPr>
          <w:trHeight w:val="244"/>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Lunch</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Technical Data Corporation</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12:30 – 2:00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Lotus</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Prep </w:t>
            </w:r>
            <w:r w:rsidR="00A53600">
              <w:rPr>
                <w:rFonts w:ascii="Calibri" w:hAnsi="Calibri" w:cs="Calibri"/>
                <w:color w:val="000000" w:themeColor="text1"/>
                <w:sz w:val="18"/>
                <w:szCs w:val="20"/>
              </w:rPr>
              <w:t>Sunrise</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Parenting</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611"/>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1:00 – 2:30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   ArthroCare</w:t>
            </w: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Afternoon Block</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Technical Data Corporation</w:t>
            </w:r>
          </w:p>
        </w:tc>
        <w:tc>
          <w:tcPr>
            <w:tcW w:w="2959" w:type="dxa"/>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2:00 – 2:45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Lotus</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Sunrise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Parenting</w:t>
            </w:r>
            <w:bookmarkStart w:id="0" w:name="_GoBack"/>
            <w:bookmarkEnd w:id="0"/>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Wrap-Up / One-Minute Entrepreneurial Finance</w:t>
            </w:r>
          </w:p>
        </w:tc>
      </w:tr>
      <w:tr w:rsidR="0015211D" w:rsidRPr="007F1614" w:rsidTr="008B74E9">
        <w:trPr>
          <w:trHeight w:val="550"/>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Toward a Theory of Entrepreneurship</w:t>
            </w:r>
          </w:p>
        </w:tc>
        <w:tc>
          <w:tcPr>
            <w:tcW w:w="2959" w:type="dxa"/>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2:45 – 3:45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1)</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431"/>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3:45 – 4:15</w:t>
            </w:r>
            <w:r w:rsidR="00E2280B">
              <w:rPr>
                <w:rFonts w:ascii="Calibri" w:hAnsi="Calibri" w:cs="Calibri"/>
                <w:color w:val="000000" w:themeColor="text1"/>
                <w:sz w:val="18"/>
                <w:szCs w:val="20"/>
              </w:rPr>
              <w:t xml:space="preserve"> - 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Pulling it Together</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Identifying Opportunities:</w:t>
            </w:r>
          </w:p>
          <w:p w:rsidR="00FC1777"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A TDC-Style New Opportunity</w:t>
            </w:r>
          </w:p>
          <w:p w:rsidR="00FC1777" w:rsidRPr="007F1614" w:rsidRDefault="00FC1777" w:rsidP="00FD2D8B">
            <w:pPr>
              <w:jc w:val="center"/>
              <w:rPr>
                <w:rFonts w:ascii="Calibri" w:hAnsi="Calibri" w:cs="Calibri"/>
                <w:color w:val="000000" w:themeColor="text1"/>
                <w:sz w:val="18"/>
                <w:szCs w:val="20"/>
              </w:rPr>
            </w:pPr>
            <w:r>
              <w:rPr>
                <w:rFonts w:ascii="Calibri" w:hAnsi="Calibri" w:cs="Calibri"/>
                <w:color w:val="000000" w:themeColor="text1"/>
                <w:sz w:val="18"/>
                <w:szCs w:val="20"/>
              </w:rPr>
              <w:t>Guest: Tim Hwang</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4:15 – 5:15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2)</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Options for Exit</w:t>
            </w:r>
          </w:p>
          <w:p w:rsidR="00F126DA" w:rsidRPr="007F1614" w:rsidRDefault="00FF512D" w:rsidP="00EB39B7">
            <w:pPr>
              <w:jc w:val="center"/>
              <w:rPr>
                <w:rFonts w:ascii="Calibri" w:hAnsi="Calibri" w:cs="Calibri"/>
                <w:color w:val="000000" w:themeColor="text1"/>
                <w:sz w:val="18"/>
                <w:szCs w:val="20"/>
              </w:rPr>
            </w:pPr>
            <w:r>
              <w:rPr>
                <w:rFonts w:ascii="Calibri" w:hAnsi="Calibri" w:cs="Calibri"/>
                <w:color w:val="000000" w:themeColor="text1"/>
                <w:sz w:val="18"/>
                <w:szCs w:val="20"/>
              </w:rPr>
              <w:t>Mystery Guest</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Private Equity</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243C61">
            <w:pPr>
              <w:jc w:val="center"/>
              <w:rPr>
                <w:rFonts w:ascii="Calibri" w:hAnsi="Calibri" w:cs="Calibri"/>
                <w:color w:val="000000" w:themeColor="text1"/>
                <w:sz w:val="18"/>
                <w:szCs w:val="20"/>
              </w:rPr>
            </w:pPr>
          </w:p>
        </w:tc>
      </w:tr>
      <w:tr w:rsidR="0015211D" w:rsidRPr="007F1614" w:rsidTr="008B74E9">
        <w:trPr>
          <w:trHeight w:val="332"/>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5:15 – 7:15</w:t>
            </w:r>
          </w:p>
          <w:p w:rsidR="00F126DA" w:rsidRPr="005901A1" w:rsidRDefault="00F126DA" w:rsidP="00E842A7">
            <w:pPr>
              <w:jc w:val="center"/>
              <w:rPr>
                <w:rFonts w:ascii="Calibri" w:hAnsi="Calibri" w:cs="Calibri"/>
                <w:strike/>
                <w:color w:val="000000" w:themeColor="text1"/>
                <w:sz w:val="18"/>
                <w:szCs w:val="20"/>
              </w:rPr>
            </w:pPr>
            <w:r w:rsidRPr="00A53600">
              <w:rPr>
                <w:rFonts w:ascii="Calibri" w:hAnsi="Calibri" w:cs="Calibri"/>
                <w:color w:val="000000" w:themeColor="text1"/>
                <w:sz w:val="18"/>
                <w:szCs w:val="20"/>
              </w:rPr>
              <w:t>Review Session (with light dinner)</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Evening</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6:00 – 8:00</w:t>
            </w:r>
          </w:p>
        </w:tc>
        <w:tc>
          <w:tcPr>
            <w:tcW w:w="2790" w:type="dxa"/>
            <w:vMerge w:val="restart"/>
            <w:tcBorders>
              <w:top w:val="single" w:sz="4" w:space="0" w:color="auto"/>
              <w:left w:val="single" w:sz="4" w:space="0" w:color="auto"/>
              <w:right w:val="single" w:sz="4" w:space="0" w:color="auto"/>
            </w:tcBorders>
            <w:shd w:val="clear" w:color="auto" w:fill="auto"/>
            <w:vAlign w:val="center"/>
          </w:tcPr>
          <w:p w:rsidR="00F126DA" w:rsidRPr="005901A1" w:rsidRDefault="00F126DA" w:rsidP="00E842A7">
            <w:pPr>
              <w:jc w:val="center"/>
              <w:rPr>
                <w:rFonts w:ascii="Calibri" w:hAnsi="Calibri" w:cs="Calibri"/>
                <w:strike/>
                <w:color w:val="FF0000"/>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5901A1" w:rsidRDefault="00F126DA" w:rsidP="00E842A7">
            <w:pPr>
              <w:jc w:val="center"/>
              <w:rPr>
                <w:rFonts w:ascii="Calibri" w:hAnsi="Calibri" w:cs="Calibri"/>
                <w:strike/>
                <w:color w:val="FF0000"/>
                <w:sz w:val="18"/>
                <w:szCs w:val="20"/>
              </w:rPr>
            </w:pP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color w:val="000000" w:themeColor="text1"/>
                <w:sz w:val="18"/>
                <w:szCs w:val="20"/>
              </w:rPr>
            </w:pPr>
            <w:r w:rsidRPr="00A53600">
              <w:rPr>
                <w:rFonts w:ascii="Calibri" w:hAnsi="Calibri" w:cs="Calibri"/>
                <w:color w:val="000000" w:themeColor="text1"/>
                <w:sz w:val="18"/>
                <w:szCs w:val="20"/>
              </w:rPr>
              <w:t>Reception:</w:t>
            </w:r>
          </w:p>
          <w:p w:rsidR="00F126DA" w:rsidRPr="005901A1" w:rsidRDefault="00F126DA" w:rsidP="00E842A7">
            <w:pPr>
              <w:jc w:val="center"/>
              <w:rPr>
                <w:rFonts w:ascii="Calibri" w:hAnsi="Calibri" w:cs="Calibri"/>
                <w:strike/>
                <w:color w:val="FF0000"/>
                <w:sz w:val="18"/>
                <w:szCs w:val="20"/>
              </w:rPr>
            </w:pPr>
            <w:r w:rsidRPr="00A53600">
              <w:rPr>
                <w:rFonts w:ascii="Calibri" w:hAnsi="Calibri" w:cs="Calibr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r>
      <w:tr w:rsidR="0015211D" w:rsidRPr="007F1614" w:rsidTr="00A6375C">
        <w:trPr>
          <w:trHeight w:val="56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Assignment</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bl>
    <w:p w:rsidR="004F2F91" w:rsidRPr="00A6375C" w:rsidRDefault="004F2F91">
      <w:pPr>
        <w:rPr>
          <w:rFonts w:ascii="Arial" w:eastAsia="Gulim" w:hAnsi="Arial" w:cs="Arial"/>
          <w:sz w:val="20"/>
          <w:szCs w:val="20"/>
        </w:rPr>
      </w:pPr>
    </w:p>
    <w:sectPr w:rsidR="004F2F91" w:rsidRPr="00A6375C" w:rsidSect="00310A99">
      <w:pgSz w:w="15840" w:h="12240" w:orient="landscape" w:code="1"/>
      <w:pgMar w:top="180" w:right="720" w:bottom="90" w:left="720" w:header="720" w:footer="1008"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91" w:rsidRDefault="004F2F91" w:rsidP="004F2F91">
      <w:r>
        <w:separator/>
      </w:r>
    </w:p>
  </w:endnote>
  <w:endnote w:type="continuationSeparator" w:id="0">
    <w:p w:rsidR="004F2F91" w:rsidRDefault="004F2F91"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FF512D">
          <w:rPr>
            <w:noProof/>
          </w:rPr>
          <w:t>iv</w:t>
        </w:r>
        <w:r>
          <w:rPr>
            <w:noProof/>
          </w:rPr>
          <w:fldChar w:fldCharType="end"/>
        </w:r>
      </w:p>
    </w:sdtContent>
  </w:sdt>
  <w:p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91" w:rsidRDefault="004F2F91" w:rsidP="004F2F91">
      <w:r>
        <w:separator/>
      </w:r>
    </w:p>
  </w:footnote>
  <w:footnote w:type="continuationSeparator" w:id="0">
    <w:p w:rsidR="004F2F91" w:rsidRDefault="004F2F91"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D694E"/>
    <w:rsid w:val="00120A46"/>
    <w:rsid w:val="0013434E"/>
    <w:rsid w:val="0015211D"/>
    <w:rsid w:val="00193EAB"/>
    <w:rsid w:val="001C2725"/>
    <w:rsid w:val="001D065B"/>
    <w:rsid w:val="00243C61"/>
    <w:rsid w:val="002458D4"/>
    <w:rsid w:val="002C18F5"/>
    <w:rsid w:val="00310A99"/>
    <w:rsid w:val="00342014"/>
    <w:rsid w:val="00355A47"/>
    <w:rsid w:val="00392D64"/>
    <w:rsid w:val="003F4479"/>
    <w:rsid w:val="00424583"/>
    <w:rsid w:val="004871EE"/>
    <w:rsid w:val="004B309F"/>
    <w:rsid w:val="004F2F91"/>
    <w:rsid w:val="004F7755"/>
    <w:rsid w:val="00504CBB"/>
    <w:rsid w:val="005229C9"/>
    <w:rsid w:val="00530518"/>
    <w:rsid w:val="00554DC4"/>
    <w:rsid w:val="005901A1"/>
    <w:rsid w:val="005B1A09"/>
    <w:rsid w:val="005E4C3E"/>
    <w:rsid w:val="00640B51"/>
    <w:rsid w:val="00655FC8"/>
    <w:rsid w:val="00675032"/>
    <w:rsid w:val="006B0154"/>
    <w:rsid w:val="00750780"/>
    <w:rsid w:val="0077294D"/>
    <w:rsid w:val="007D0E9C"/>
    <w:rsid w:val="007F1274"/>
    <w:rsid w:val="008620F7"/>
    <w:rsid w:val="00867A99"/>
    <w:rsid w:val="0088723A"/>
    <w:rsid w:val="008B74E9"/>
    <w:rsid w:val="0090497E"/>
    <w:rsid w:val="00921F5C"/>
    <w:rsid w:val="00945163"/>
    <w:rsid w:val="0098473F"/>
    <w:rsid w:val="009851F4"/>
    <w:rsid w:val="00995A75"/>
    <w:rsid w:val="009E3335"/>
    <w:rsid w:val="00A53600"/>
    <w:rsid w:val="00A6375C"/>
    <w:rsid w:val="00A74CEF"/>
    <w:rsid w:val="00AB1CCD"/>
    <w:rsid w:val="00AE2135"/>
    <w:rsid w:val="00B07DE4"/>
    <w:rsid w:val="00B54CE5"/>
    <w:rsid w:val="00B57CD6"/>
    <w:rsid w:val="00B76845"/>
    <w:rsid w:val="00BC6BAB"/>
    <w:rsid w:val="00BF75C2"/>
    <w:rsid w:val="00C0117E"/>
    <w:rsid w:val="00C01D17"/>
    <w:rsid w:val="00CF0DE3"/>
    <w:rsid w:val="00CF2C6D"/>
    <w:rsid w:val="00D4417A"/>
    <w:rsid w:val="00D44DEF"/>
    <w:rsid w:val="00D5756F"/>
    <w:rsid w:val="00DD18C0"/>
    <w:rsid w:val="00E2280B"/>
    <w:rsid w:val="00EA4F47"/>
    <w:rsid w:val="00EB39B7"/>
    <w:rsid w:val="00EC6A02"/>
    <w:rsid w:val="00F126DA"/>
    <w:rsid w:val="00F81A19"/>
    <w:rsid w:val="00FC1777"/>
    <w:rsid w:val="00FD2D8B"/>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DC21C828-7A0D-4083-BDB8-F589604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2707@gsb.columbi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1@gsb.columbi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gsb.columbia.edu/entrepreneurship" TargetMode="External"/><Relationship Id="rId5" Type="http://schemas.openxmlformats.org/officeDocument/2006/relationships/footnotes" Target="footnotes.xml"/><Relationship Id="rId10" Type="http://schemas.openxmlformats.org/officeDocument/2006/relationships/hyperlink" Target="http://library.columbia.edu/subject-guides/business/entrepreneurship.html" TargetMode="External"/><Relationship Id="rId4" Type="http://schemas.openxmlformats.org/officeDocument/2006/relationships/webSettings" Target="webSettings.xml"/><Relationship Id="rId9" Type="http://schemas.openxmlformats.org/officeDocument/2006/relationships/hyperlink" Target="mailto:ms38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4</cp:revision>
  <cp:lastPrinted>2016-07-05T13:56:00Z</cp:lastPrinted>
  <dcterms:created xsi:type="dcterms:W3CDTF">2016-10-28T20:39:00Z</dcterms:created>
  <dcterms:modified xsi:type="dcterms:W3CDTF">2016-10-28T21:07:00Z</dcterms:modified>
</cp:coreProperties>
</file>