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CD" w:rsidRPr="0059476B" w:rsidRDefault="00AB1CCD" w:rsidP="00AB1CCD">
      <w:pPr>
        <w:jc w:val="center"/>
        <w:rPr>
          <w:rFonts w:ascii="Arial" w:eastAsia="Gulim" w:hAnsi="Arial" w:cs="Arial"/>
          <w:b/>
          <w:sz w:val="22"/>
          <w:szCs w:val="22"/>
        </w:rPr>
      </w:pPr>
      <w:r w:rsidRPr="0059476B">
        <w:rPr>
          <w:rFonts w:ascii="Arial" w:eastAsia="Gulim" w:hAnsi="Arial" w:cs="Arial"/>
          <w:b/>
          <w:sz w:val="22"/>
          <w:szCs w:val="22"/>
        </w:rPr>
        <w:t xml:space="preserve">COLUMBIA BUSINESS SCHOOL </w:t>
      </w:r>
    </w:p>
    <w:p w:rsidR="00AB1CCD" w:rsidRPr="0059476B" w:rsidRDefault="00AB1CCD" w:rsidP="00AB1CCD">
      <w:pPr>
        <w:jc w:val="center"/>
        <w:rPr>
          <w:rFonts w:ascii="Arial" w:eastAsia="Gulim" w:hAnsi="Arial" w:cs="Arial"/>
          <w:b/>
          <w:sz w:val="22"/>
          <w:szCs w:val="22"/>
        </w:rPr>
      </w:pPr>
    </w:p>
    <w:p w:rsidR="00AB1CCD" w:rsidRPr="0059476B" w:rsidRDefault="00AB1CCD" w:rsidP="00AB1CCD">
      <w:pPr>
        <w:jc w:val="center"/>
        <w:rPr>
          <w:rFonts w:ascii="Arial" w:eastAsia="Gulim" w:hAnsi="Arial"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4860"/>
        <w:gridCol w:w="450"/>
        <w:gridCol w:w="3870"/>
      </w:tblGrid>
      <w:tr w:rsidR="00AB1CCD" w:rsidRPr="0059476B" w:rsidTr="00CD7AE4">
        <w:trPr>
          <w:trHeight w:val="1332"/>
        </w:trPr>
        <w:tc>
          <w:tcPr>
            <w:tcW w:w="4860" w:type="dxa"/>
          </w:tcPr>
          <w:p w:rsidR="00AB1CCD" w:rsidRPr="0059476B" w:rsidRDefault="00AB1CCD" w:rsidP="00CD7AE4">
            <w:pPr>
              <w:rPr>
                <w:rFonts w:ascii="Arial" w:eastAsia="Gulim" w:hAnsi="Arial" w:cs="Arial"/>
                <w:b/>
                <w:sz w:val="22"/>
                <w:szCs w:val="22"/>
              </w:rPr>
            </w:pPr>
            <w:r w:rsidRPr="0059476B">
              <w:rPr>
                <w:rFonts w:ascii="Arial" w:eastAsia="Gulim" w:hAnsi="Arial" w:cs="Arial"/>
                <w:b/>
                <w:sz w:val="22"/>
                <w:szCs w:val="22"/>
              </w:rPr>
              <w:t>Entrepreneurial Finance</w:t>
            </w:r>
          </w:p>
          <w:p w:rsidR="00AB1CCD" w:rsidRPr="0059476B" w:rsidRDefault="007D0E9C" w:rsidP="00CD7AE4">
            <w:pPr>
              <w:rPr>
                <w:rFonts w:ascii="Arial" w:eastAsia="Gulim" w:hAnsi="Arial" w:cs="Arial"/>
                <w:sz w:val="22"/>
                <w:szCs w:val="22"/>
              </w:rPr>
            </w:pPr>
            <w:r>
              <w:rPr>
                <w:rFonts w:ascii="Arial" w:eastAsia="Gulim" w:hAnsi="Arial" w:cs="Arial"/>
                <w:sz w:val="22"/>
                <w:szCs w:val="22"/>
              </w:rPr>
              <w:t>Finance B7</w:t>
            </w:r>
            <w:r w:rsidR="006B0154">
              <w:rPr>
                <w:rFonts w:ascii="Arial" w:eastAsia="Gulim" w:hAnsi="Arial" w:cs="Arial"/>
                <w:sz w:val="22"/>
                <w:szCs w:val="22"/>
              </w:rPr>
              <w:t>345</w:t>
            </w:r>
          </w:p>
          <w:p w:rsidR="00AB1CCD" w:rsidRPr="0059476B" w:rsidRDefault="00AB1CCD" w:rsidP="00CD7AE4">
            <w:pPr>
              <w:rPr>
                <w:rFonts w:ascii="Arial" w:eastAsia="Gulim" w:hAnsi="Arial" w:cs="Arial"/>
                <w:sz w:val="22"/>
                <w:szCs w:val="22"/>
              </w:rPr>
            </w:pPr>
            <w:r w:rsidRPr="0059476B">
              <w:rPr>
                <w:rFonts w:ascii="Arial" w:eastAsia="Gulim" w:hAnsi="Arial" w:cs="Arial"/>
                <w:sz w:val="22"/>
                <w:szCs w:val="22"/>
              </w:rPr>
              <w:t xml:space="preserve">Division of Finance and Economics </w:t>
            </w:r>
          </w:p>
          <w:p w:rsidR="00AB1CCD" w:rsidRPr="0059476B" w:rsidRDefault="00D4417A" w:rsidP="00CD7AE4">
            <w:pPr>
              <w:rPr>
                <w:rFonts w:ascii="Arial" w:eastAsia="Gulim" w:hAnsi="Arial" w:cs="Arial"/>
                <w:sz w:val="22"/>
                <w:szCs w:val="22"/>
              </w:rPr>
            </w:pPr>
            <w:r>
              <w:rPr>
                <w:rFonts w:ascii="Arial" w:eastAsia="Gulim" w:hAnsi="Arial" w:cs="Arial"/>
                <w:sz w:val="22"/>
                <w:szCs w:val="22"/>
              </w:rPr>
              <w:t>Summer</w:t>
            </w:r>
            <w:r w:rsidR="007D0E9C">
              <w:rPr>
                <w:rFonts w:ascii="Arial" w:eastAsia="Gulim" w:hAnsi="Arial" w:cs="Arial"/>
                <w:sz w:val="22"/>
                <w:szCs w:val="22"/>
              </w:rPr>
              <w:t xml:space="preserve"> 2015</w:t>
            </w:r>
          </w:p>
          <w:p w:rsidR="00AB1CCD" w:rsidRPr="0059476B" w:rsidRDefault="00D4417A" w:rsidP="00CD7AE4">
            <w:pPr>
              <w:rPr>
                <w:rFonts w:ascii="Arial" w:eastAsia="Gulim" w:hAnsi="Arial" w:cs="Arial"/>
                <w:sz w:val="22"/>
                <w:szCs w:val="22"/>
              </w:rPr>
            </w:pPr>
            <w:r>
              <w:rPr>
                <w:rFonts w:ascii="Arial" w:eastAsia="Gulim" w:hAnsi="Arial" w:cs="Arial"/>
                <w:sz w:val="22"/>
                <w:szCs w:val="22"/>
              </w:rPr>
              <w:t>June 28</w:t>
            </w:r>
            <w:r w:rsidR="007D0E9C">
              <w:rPr>
                <w:rFonts w:ascii="Arial" w:eastAsia="Gulim" w:hAnsi="Arial" w:cs="Arial"/>
                <w:sz w:val="22"/>
                <w:szCs w:val="22"/>
              </w:rPr>
              <w:t xml:space="preserve"> – </w:t>
            </w:r>
            <w:r>
              <w:rPr>
                <w:rFonts w:ascii="Arial" w:eastAsia="Gulim" w:hAnsi="Arial" w:cs="Arial"/>
                <w:sz w:val="22"/>
                <w:szCs w:val="22"/>
              </w:rPr>
              <w:t>July 2</w:t>
            </w:r>
            <w:r w:rsidR="007D0E9C">
              <w:rPr>
                <w:rFonts w:ascii="Arial" w:eastAsia="Gulim" w:hAnsi="Arial" w:cs="Arial"/>
                <w:sz w:val="22"/>
                <w:szCs w:val="22"/>
              </w:rPr>
              <w:t>, 2015</w:t>
            </w:r>
          </w:p>
          <w:p w:rsidR="00AB1CCD" w:rsidRPr="0059476B" w:rsidRDefault="00AB1CCD" w:rsidP="00CD7AE4">
            <w:pPr>
              <w:rPr>
                <w:rFonts w:ascii="Arial" w:eastAsia="Gulim" w:hAnsi="Arial" w:cs="Arial"/>
                <w:sz w:val="22"/>
                <w:szCs w:val="22"/>
              </w:rPr>
            </w:pPr>
            <w:r w:rsidRPr="0059476B">
              <w:rPr>
                <w:rFonts w:ascii="Arial" w:eastAsia="Gulim" w:hAnsi="Arial" w:cs="Arial"/>
                <w:sz w:val="22"/>
                <w:szCs w:val="22"/>
              </w:rPr>
              <w:t>8:00 AM – 6:00 PM</w:t>
            </w:r>
          </w:p>
          <w:p w:rsidR="00AB1CCD" w:rsidRPr="0059476B" w:rsidRDefault="00AB1CCD" w:rsidP="00CD7AE4">
            <w:pPr>
              <w:rPr>
                <w:rFonts w:ascii="Arial" w:eastAsia="Gulim" w:hAnsi="Arial" w:cs="Arial"/>
                <w:b/>
                <w:sz w:val="22"/>
                <w:szCs w:val="22"/>
                <w:u w:val="single"/>
              </w:rPr>
            </w:pPr>
            <w:r w:rsidRPr="0059476B">
              <w:rPr>
                <w:rFonts w:ascii="Arial" w:eastAsia="Gulim" w:hAnsi="Arial" w:cs="Arial"/>
                <w:sz w:val="22"/>
                <w:szCs w:val="22"/>
              </w:rPr>
              <w:t>Uris 142</w:t>
            </w:r>
          </w:p>
        </w:tc>
        <w:tc>
          <w:tcPr>
            <w:tcW w:w="450" w:type="dxa"/>
          </w:tcPr>
          <w:p w:rsidR="00AB1CCD" w:rsidRPr="0059476B" w:rsidRDefault="00AB1CCD" w:rsidP="00CD7AE4">
            <w:pPr>
              <w:rPr>
                <w:rFonts w:ascii="Arial" w:eastAsia="Gulim" w:hAnsi="Arial" w:cs="Arial"/>
                <w:b/>
                <w:sz w:val="22"/>
                <w:szCs w:val="22"/>
                <w:u w:val="single"/>
              </w:rPr>
            </w:pPr>
          </w:p>
        </w:tc>
        <w:tc>
          <w:tcPr>
            <w:tcW w:w="3870" w:type="dxa"/>
          </w:tcPr>
          <w:p w:rsidR="00AB1CCD" w:rsidRPr="0059476B" w:rsidRDefault="00AB1CCD" w:rsidP="00CD7AE4">
            <w:pPr>
              <w:jc w:val="right"/>
              <w:rPr>
                <w:rFonts w:ascii="Arial" w:eastAsia="Gulim" w:hAnsi="Arial" w:cs="Arial"/>
                <w:sz w:val="22"/>
                <w:szCs w:val="22"/>
                <w:lang w:val="de-DE"/>
              </w:rPr>
            </w:pPr>
            <w:r w:rsidRPr="0059476B">
              <w:rPr>
                <w:rFonts w:ascii="Arial" w:eastAsia="Gulim" w:hAnsi="Arial" w:cs="Arial"/>
                <w:sz w:val="22"/>
                <w:szCs w:val="22"/>
                <w:lang w:val="de-DE"/>
              </w:rPr>
              <w:t>Glenn Hubbard/Uris 101</w:t>
            </w:r>
          </w:p>
          <w:p w:rsidR="00AB1CCD" w:rsidRPr="0059476B" w:rsidRDefault="00F126DA" w:rsidP="00CD7AE4">
            <w:pPr>
              <w:jc w:val="right"/>
              <w:rPr>
                <w:rFonts w:ascii="Arial" w:eastAsia="Gulim" w:hAnsi="Arial" w:cs="Arial"/>
                <w:b/>
                <w:sz w:val="22"/>
                <w:szCs w:val="22"/>
                <w:lang w:val="de-DE"/>
              </w:rPr>
            </w:pPr>
            <w:hyperlink r:id="rId7" w:history="1">
              <w:r w:rsidR="00AB1CCD" w:rsidRPr="0059476B">
                <w:rPr>
                  <w:rStyle w:val="Hyperlink"/>
                  <w:rFonts w:ascii="Arial" w:eastAsia="Gulim" w:hAnsi="Arial" w:cs="Arial"/>
                  <w:b/>
                  <w:bCs/>
                  <w:sz w:val="22"/>
                  <w:szCs w:val="22"/>
                  <w:lang w:val="de-DE"/>
                </w:rPr>
                <w:t>rgh1@columbia.edu</w:t>
              </w:r>
            </w:hyperlink>
            <w:r w:rsidR="00AB1CCD" w:rsidRPr="0059476B">
              <w:rPr>
                <w:rFonts w:ascii="Arial" w:eastAsia="Gulim" w:hAnsi="Arial" w:cs="Arial"/>
                <w:b/>
                <w:bCs/>
                <w:sz w:val="22"/>
                <w:szCs w:val="22"/>
                <w:lang w:val="de-DE"/>
              </w:rPr>
              <w:t>/</w:t>
            </w:r>
            <w:r w:rsidR="00AB1CCD" w:rsidRPr="0059476B">
              <w:rPr>
                <w:rFonts w:ascii="Arial" w:eastAsia="Gulim" w:hAnsi="Arial" w:cs="Arial"/>
                <w:b/>
                <w:sz w:val="22"/>
                <w:szCs w:val="22"/>
                <w:lang w:val="de-DE"/>
              </w:rPr>
              <w:t>854-2888</w:t>
            </w:r>
          </w:p>
          <w:p w:rsidR="00AB1CCD" w:rsidRPr="0059476B" w:rsidRDefault="00AB1CCD" w:rsidP="00CD7AE4">
            <w:pPr>
              <w:jc w:val="right"/>
              <w:rPr>
                <w:rFonts w:ascii="Arial" w:eastAsia="Gulim" w:hAnsi="Arial" w:cs="Arial"/>
                <w:sz w:val="22"/>
                <w:szCs w:val="22"/>
                <w:lang w:val="de-DE"/>
              </w:rPr>
            </w:pPr>
            <w:r w:rsidRPr="0059476B">
              <w:rPr>
                <w:rFonts w:ascii="Arial" w:eastAsia="Gulim" w:hAnsi="Arial" w:cs="Arial"/>
                <w:sz w:val="22"/>
                <w:szCs w:val="22"/>
                <w:lang w:val="de-DE"/>
              </w:rPr>
              <w:t>Michael Keehner/Uris 218</w:t>
            </w:r>
          </w:p>
          <w:p w:rsidR="00AB1CCD" w:rsidRPr="0059476B" w:rsidRDefault="00AB1CCD" w:rsidP="00CD7AE4">
            <w:pPr>
              <w:jc w:val="right"/>
              <w:rPr>
                <w:rFonts w:ascii="Arial" w:eastAsia="Gulim" w:hAnsi="Arial" w:cs="Arial"/>
                <w:b/>
                <w:sz w:val="22"/>
                <w:szCs w:val="22"/>
                <w:lang w:val="de-DE"/>
              </w:rPr>
            </w:pPr>
            <w:r w:rsidRPr="0059476B">
              <w:rPr>
                <w:rFonts w:ascii="Arial" w:eastAsia="Gulim" w:hAnsi="Arial" w:cs="Arial"/>
                <w:b/>
                <w:sz w:val="22"/>
                <w:szCs w:val="22"/>
                <w:lang w:val="de-DE"/>
              </w:rPr>
              <w:t>mk2561@columbia.edu/854-7903</w:t>
            </w:r>
          </w:p>
          <w:p w:rsidR="00AB1CCD" w:rsidRPr="0059476B" w:rsidRDefault="00AB1CCD" w:rsidP="00CD7AE4">
            <w:pPr>
              <w:jc w:val="right"/>
              <w:rPr>
                <w:rFonts w:ascii="Arial" w:eastAsia="Gulim" w:hAnsi="Arial" w:cs="Arial"/>
                <w:sz w:val="22"/>
                <w:szCs w:val="22"/>
              </w:rPr>
            </w:pPr>
            <w:r w:rsidRPr="0059476B">
              <w:rPr>
                <w:rFonts w:ascii="Arial" w:eastAsia="Gulim" w:hAnsi="Arial" w:cs="Arial"/>
                <w:sz w:val="22"/>
                <w:szCs w:val="22"/>
              </w:rPr>
              <w:t>Morten Sorensen/Uris 802</w:t>
            </w:r>
          </w:p>
          <w:p w:rsidR="00AB1CCD" w:rsidRPr="0059476B" w:rsidRDefault="00AB1CCD" w:rsidP="00CD7AE4">
            <w:pPr>
              <w:jc w:val="right"/>
              <w:rPr>
                <w:rFonts w:ascii="Arial" w:eastAsia="Gulim" w:hAnsi="Arial" w:cs="Arial"/>
                <w:b/>
                <w:sz w:val="22"/>
                <w:szCs w:val="22"/>
              </w:rPr>
            </w:pPr>
            <w:r w:rsidRPr="0059476B">
              <w:rPr>
                <w:rFonts w:ascii="Arial" w:eastAsia="Gulim" w:hAnsi="Arial" w:cs="Arial"/>
                <w:b/>
                <w:sz w:val="22"/>
                <w:szCs w:val="22"/>
              </w:rPr>
              <w:t>ms3814@columbia.edu/851-2446</w:t>
            </w:r>
          </w:p>
          <w:p w:rsidR="00AB1CCD" w:rsidRPr="0059476B" w:rsidRDefault="00AB1CCD" w:rsidP="00CD7AE4">
            <w:pPr>
              <w:jc w:val="right"/>
              <w:rPr>
                <w:rFonts w:ascii="Arial" w:eastAsia="Gulim" w:hAnsi="Arial" w:cs="Arial"/>
                <w:sz w:val="22"/>
                <w:szCs w:val="22"/>
              </w:rPr>
            </w:pPr>
            <w:r w:rsidRPr="0059476B">
              <w:rPr>
                <w:rFonts w:ascii="Arial" w:eastAsia="Gulim" w:hAnsi="Arial" w:cs="Arial"/>
                <w:sz w:val="22"/>
                <w:szCs w:val="22"/>
              </w:rPr>
              <w:t>Office Hours: By appointment</w:t>
            </w:r>
          </w:p>
          <w:p w:rsidR="00AB1CCD" w:rsidRPr="0059476B" w:rsidRDefault="00AB1CCD" w:rsidP="00CD7AE4">
            <w:pPr>
              <w:rPr>
                <w:rFonts w:ascii="Arial" w:eastAsia="Gulim" w:hAnsi="Arial" w:cs="Arial"/>
                <w:b/>
                <w:sz w:val="22"/>
                <w:szCs w:val="22"/>
                <w:u w:val="single"/>
              </w:rPr>
            </w:pPr>
          </w:p>
        </w:tc>
      </w:tr>
    </w:tbl>
    <w:p w:rsidR="00AB1CCD" w:rsidRPr="0059476B" w:rsidRDefault="00AB1CCD" w:rsidP="00AB1CCD">
      <w:pPr>
        <w:rPr>
          <w:rFonts w:ascii="Arial" w:eastAsia="Gulim" w:hAnsi="Arial" w:cs="Arial"/>
          <w:b/>
          <w:sz w:val="22"/>
          <w:szCs w:val="22"/>
        </w:rPr>
      </w:pPr>
    </w:p>
    <w:p w:rsidR="00AB1CCD" w:rsidRPr="0059476B" w:rsidRDefault="00AB1CCD" w:rsidP="00AB1CCD">
      <w:pPr>
        <w:rPr>
          <w:rFonts w:ascii="Arial" w:eastAsia="Gulim" w:hAnsi="Arial" w:cs="Arial"/>
          <w:b/>
          <w:sz w:val="20"/>
          <w:szCs w:val="20"/>
        </w:rPr>
      </w:pPr>
    </w:p>
    <w:p w:rsidR="00AB1CCD" w:rsidRPr="0059476B" w:rsidRDefault="00AB1CCD" w:rsidP="00AB1CCD">
      <w:pPr>
        <w:rPr>
          <w:rFonts w:ascii="Arial" w:eastAsia="Gulim" w:hAnsi="Arial" w:cs="Arial"/>
          <w:b/>
          <w:sz w:val="20"/>
          <w:szCs w:val="20"/>
        </w:rPr>
      </w:pPr>
      <w:r w:rsidRPr="0059476B">
        <w:rPr>
          <w:rFonts w:ascii="Arial" w:eastAsia="Gulim" w:hAnsi="Arial" w:cs="Arial"/>
          <w:b/>
          <w:sz w:val="20"/>
          <w:szCs w:val="20"/>
        </w:rPr>
        <w:t>COURSE OVERVIEW</w:t>
      </w:r>
    </w:p>
    <w:p w:rsidR="00AB1CCD" w:rsidRPr="0059476B" w:rsidRDefault="00AB1CCD" w:rsidP="00AB1CCD">
      <w:pPr>
        <w:rPr>
          <w:rFonts w:ascii="Arial" w:eastAsia="Gulim" w:hAnsi="Arial" w:cs="Arial"/>
          <w:b/>
          <w:sz w:val="20"/>
          <w:szCs w:val="20"/>
          <w:u w:val="single"/>
        </w:rPr>
      </w:pPr>
    </w:p>
    <w:p w:rsidR="00AB1CCD" w:rsidRPr="0059476B" w:rsidRDefault="00AB1CCD" w:rsidP="00AB1CCD">
      <w:pPr>
        <w:rPr>
          <w:rFonts w:ascii="Arial" w:eastAsia="Gulim" w:hAnsi="Arial" w:cs="Arial"/>
          <w:sz w:val="20"/>
          <w:szCs w:val="20"/>
        </w:rPr>
      </w:pPr>
      <w:r w:rsidRPr="0059476B">
        <w:rPr>
          <w:rFonts w:ascii="Arial" w:eastAsia="Gulim" w:hAnsi="Arial" w:cs="Arial"/>
          <w:sz w:val="20"/>
          <w:szCs w:val="20"/>
        </w:rPr>
        <w:t xml:space="preserve">“Entrepreneurship” is a popular focus of discussion among businesspeople, financiers, economists, and policymakers.  At a macro level, economists and policymakers have increased their attention to entrepreneurial enterprise because of its importance to economic growth, the significance of entrepreneurial businesses in job creation, and the role of business owners in aggregate saving and wealth accumulation.  Today on the demand side, many M.B.A. students want to start their own businesses or be part of emerging businesses, while on the supply side, other M.B.A.s are interested in participating directly in the growth of venture capital and private equity. </w:t>
      </w:r>
    </w:p>
    <w:p w:rsidR="00AB1CCD" w:rsidRPr="0059476B" w:rsidRDefault="00AB1CCD" w:rsidP="00AB1CCD">
      <w:pPr>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What, then, is “entrepreneurial finance”?  The second term is easier to define.  We know that Finance studies encompass valuation and the allocation of resources, risk, liquidity, and information.  Indeed, topics in finance related to valuing cash flows, assessing the cost of capital, choosing among suppliers of funds, and aligning incentives for value maximization are at least as important for entrepreneurial firms as for more established firms.  In particular, new and growing firms likely face “financing constraints” on growth and difficult decisions about financial contracting; while present-day financial decisions may have a profound influence on the available range of future options and choices.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Defining entrepreneurship is less straightforward.  Consistent with many popular characterizations of entrepreneurs, the noted Harvard economist Joseph Schumpeter summarized an entrepreneur as follows: </w:t>
      </w: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r w:rsidRPr="0059476B">
        <w:rPr>
          <w:rFonts w:ascii="Arial" w:eastAsia="Gulim" w:hAnsi="Arial" w:cs="Arial"/>
          <w:sz w:val="20"/>
          <w:szCs w:val="20"/>
        </w:rPr>
        <w:t>“To act with confidence beyond the range of familiar beacons and to overcome that [social] resistance requires aptitudes that are present only in a small fraction of the population and that define the entrepreneurial type...”  (</w:t>
      </w:r>
      <w:r w:rsidRPr="0059476B">
        <w:rPr>
          <w:rFonts w:ascii="Arial" w:eastAsia="Gulim" w:hAnsi="Arial" w:cs="Arial"/>
          <w:i/>
          <w:sz w:val="20"/>
          <w:szCs w:val="20"/>
        </w:rPr>
        <w:t>Capitalism</w:t>
      </w:r>
      <w:r w:rsidRPr="0059476B">
        <w:rPr>
          <w:rFonts w:ascii="Arial" w:eastAsia="Gulim" w:hAnsi="Arial" w:cs="Arial"/>
          <w:sz w:val="20"/>
          <w:szCs w:val="20"/>
        </w:rPr>
        <w:t xml:space="preserve">, </w:t>
      </w:r>
      <w:r w:rsidRPr="0059476B">
        <w:rPr>
          <w:rFonts w:ascii="Arial" w:eastAsia="Gulim" w:hAnsi="Arial" w:cs="Arial"/>
          <w:i/>
          <w:sz w:val="20"/>
          <w:szCs w:val="20"/>
        </w:rPr>
        <w:t>Socialism</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Democracy</w:t>
      </w:r>
      <w:r w:rsidRPr="0059476B">
        <w:rPr>
          <w:rFonts w:ascii="Arial" w:eastAsia="Gulim" w:hAnsi="Arial" w:cs="Arial"/>
          <w:sz w:val="20"/>
          <w:szCs w:val="20"/>
        </w:rPr>
        <w:t>, New York: Harper and Row, 1942, page 132.)</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Whoa!  Actually studying entrepreneurship requires a narrower focus.  The economic concept corresponding most to topics we discuss in this course as “entrepreneurial finance” was articulated by Chicago economist Frank Knight who argued that entrepreneurs must address problems of raising capital and bearing risk in addition to identifying and pursuing opportunity.  [Frank H. Knight, </w:t>
      </w:r>
      <w:r w:rsidRPr="0059476B">
        <w:rPr>
          <w:rFonts w:ascii="Arial" w:eastAsia="Gulim" w:hAnsi="Arial" w:cs="Arial"/>
          <w:i/>
          <w:sz w:val="20"/>
          <w:szCs w:val="20"/>
        </w:rPr>
        <w:t>Risk</w:t>
      </w:r>
      <w:r w:rsidRPr="0059476B">
        <w:rPr>
          <w:rFonts w:ascii="Arial" w:eastAsia="Gulim" w:hAnsi="Arial" w:cs="Arial"/>
          <w:sz w:val="20"/>
          <w:szCs w:val="20"/>
        </w:rPr>
        <w:t xml:space="preserve">, </w:t>
      </w:r>
      <w:r w:rsidRPr="0059476B">
        <w:rPr>
          <w:rFonts w:ascii="Arial" w:eastAsia="Gulim" w:hAnsi="Arial" w:cs="Arial"/>
          <w:i/>
          <w:sz w:val="20"/>
          <w:szCs w:val="20"/>
        </w:rPr>
        <w:t>Uncertainty</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Profit</w:t>
      </w:r>
      <w:r w:rsidRPr="0059476B">
        <w:rPr>
          <w:rFonts w:ascii="Arial" w:eastAsia="Gulim" w:hAnsi="Arial" w:cs="Arial"/>
          <w:sz w:val="20"/>
          <w:szCs w:val="20"/>
        </w:rPr>
        <w:t>, New York: Houghton Mifflin, 1921.]  Throughout the course, we will emphasize such financial management decisions of entrepreneurial firms.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define an entrepreneur as the person who puts the pieces together, identifies the new opportunity, connects the dots, and brings about change.  Entrepreneurship may take place in small start-ups as well as large established firms.  The entrepreneur may be the inventor, the financier, the manager, or somebody else entirely, and their relative value-added to the deal may shift accordingly.  We will explore the implications of this dichotomy in detail in this course. </w:t>
      </w:r>
    </w:p>
    <w:p w:rsidR="00AB1CCD" w:rsidRDefault="00AB1CCD">
      <w:pPr>
        <w:widowControl/>
        <w:autoSpaceDE/>
        <w:autoSpaceDN/>
        <w:adjustRightInd/>
      </w:pPr>
      <w:r>
        <w:br w:type="page"/>
      </w: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lastRenderedPageBreak/>
        <w:t>The capital market for financing such entrepreneurs – and private equity investing more generally – differs fundamentally from capital markets considered in standard corporate finance: First, start-ups are young, mostly unprofitable companies, with short operating histories and little capital.  Young firms face exceptionally high degrees of uncertainty, constraining financing and creating difficult decisions about financial contracting, keeping in mind that today’s financial decisions may have implications for future opportunities and choices.  Second, available capital markets for privately held companies are predominantly “deal markets” where terms and valuations are negotiated on a case-by-case basis, where investors can add value and are actively involved with the companies they finance.  Throughout the course, we emphasize financial opportunities and decisions of entrepreneurs and private equity investors investing in these entrepreneurs.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The course uses a two-pronged approach to the study of entrepreneurial finance.  First, we will analyze principles of corporate finance, valuation, and coordination and control of firms, with an eye toward developing the tools and concepts of entrepreneurial financial management.  Second, we will use cases on firms at different stages of their life cycle to illustrate how these tools and concepts may be applied in practice.  In following these two approaches, we will examine the case dynamics and decisions from the viewpoint of both the entrepreneur and that of the investors to understand their motivations, objectives, and considerations.  Entrepreneurial Finance and Private Equity investing are intrinsically linked.  As an entrepreneur, you cannot negotiate effectively without understanding the investor’s modifications.  As an investor, you cannot evaluate a potential opportunity without appreciating the entrepreneur’s perspective.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In principle, we can think of a “life cycle” of entrepreneurial financial decisions comprised of stages of identifying opportunity, marshaling resources, executing the business decisions, and “harvesting” success.  In practice, entrepreneurial finance is not a linear process though this life cycle, and most of the cases we examine will necessarily involve considering multiple stages of the life cycle.  As a further dimension, both economists and private equity practitioners describe the need to think simultaneously about four “success factors”: </w:t>
      </w:r>
      <w:r w:rsidRPr="0059476B">
        <w:rPr>
          <w:rFonts w:ascii="Arial" w:eastAsia="Gulim" w:hAnsi="Arial" w:cs="Arial"/>
          <w:i/>
          <w:sz w:val="20"/>
          <w:szCs w:val="20"/>
        </w:rPr>
        <w:t>people</w:t>
      </w:r>
      <w:r w:rsidRPr="0059476B">
        <w:rPr>
          <w:rFonts w:ascii="Arial" w:eastAsia="Gulim" w:hAnsi="Arial" w:cs="Arial"/>
          <w:sz w:val="20"/>
          <w:szCs w:val="20"/>
        </w:rPr>
        <w:t xml:space="preserve">, </w:t>
      </w:r>
      <w:r w:rsidRPr="0059476B">
        <w:rPr>
          <w:rFonts w:ascii="Arial" w:eastAsia="Gulim" w:hAnsi="Arial" w:cs="Arial"/>
          <w:i/>
          <w:sz w:val="20"/>
          <w:szCs w:val="20"/>
        </w:rPr>
        <w:t>opportunity</w:t>
      </w:r>
      <w:r w:rsidRPr="0059476B">
        <w:rPr>
          <w:rFonts w:ascii="Arial" w:eastAsia="Gulim" w:hAnsi="Arial" w:cs="Arial"/>
          <w:sz w:val="20"/>
          <w:szCs w:val="20"/>
        </w:rPr>
        <w:t xml:space="preserve">, </w:t>
      </w:r>
      <w:r w:rsidRPr="0059476B">
        <w:rPr>
          <w:rFonts w:ascii="Arial" w:eastAsia="Gulim" w:hAnsi="Arial" w:cs="Arial"/>
          <w:i/>
          <w:sz w:val="20"/>
          <w:szCs w:val="20"/>
        </w:rPr>
        <w:t>context</w:t>
      </w:r>
      <w:r w:rsidRPr="0059476B">
        <w:rPr>
          <w:rFonts w:ascii="Arial" w:eastAsia="Gulim" w:hAnsi="Arial" w:cs="Arial"/>
          <w:sz w:val="20"/>
          <w:szCs w:val="20"/>
        </w:rPr>
        <w:t xml:space="preserve">, and the </w:t>
      </w:r>
      <w:r w:rsidRPr="0059476B">
        <w:rPr>
          <w:rFonts w:ascii="Arial" w:eastAsia="Gulim" w:hAnsi="Arial" w:cs="Arial"/>
          <w:i/>
          <w:sz w:val="20"/>
          <w:szCs w:val="20"/>
        </w:rPr>
        <w:t>deal</w:t>
      </w:r>
      <w:r w:rsidRPr="0059476B">
        <w:rPr>
          <w:rFonts w:ascii="Arial" w:eastAsia="Gulim" w:hAnsi="Arial" w:cs="Arial"/>
          <w:sz w:val="20"/>
          <w:szCs w:val="20"/>
        </w:rPr>
        <w:t xml:space="preserve">.  Our case analyses will follow this general framework.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teaching notes emphasize general principles and tools, class cases will cover firms in many different industries and settings including those outside the United States.  The sequence of course cases will not only permit us to illustrate applications of the principles and tools; but will facilitate going beyond the instant situations to discuss similarities and differences in the practice of entrepreneurial finance across industries and across countries.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1: Identifying and Capturing Opportunity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standard DCF approach is a valuation workhorse and provides a fundamental definition of economic value, it is unfortunately woefully inadequate for evaluating entrepreneurial companies, due to their short operating histories, lack of financial data, and a shortage of comparable companies.  Instead, we present the VC-method, which combines coarse quantitative information with a detailed qualitative (“People-Opportunity-Context-Deal”) assessment of the opportunity.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Additionally, we discuss and value two types of real options that are prominent in entrepreneurial finance: (1) growth options and (2) staged investments.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Discounted Cash Flows (“DCF”); Top-down vs. bottom-up projections; VC capital method; Pre- and post-money valuations; People-Context-Opportunity-Deal; real options; growth options; milestones and staged financing; Black-Scholes.</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rPr>
          <w:rFonts w:ascii="Arial" w:eastAsia="Gulim" w:hAnsi="Arial" w:cs="Arial"/>
          <w:sz w:val="20"/>
          <w:szCs w:val="20"/>
        </w:rPr>
      </w:pPr>
      <w:r w:rsidRPr="0059476B">
        <w:rPr>
          <w:rFonts w:ascii="Arial" w:eastAsia="Gulim" w:hAnsi="Arial" w:cs="Arial"/>
          <w:b/>
          <w:sz w:val="20"/>
          <w:szCs w:val="20"/>
        </w:rPr>
        <w:t>Cases:</w:t>
      </w:r>
      <w:r w:rsidRPr="0059476B">
        <w:rPr>
          <w:rFonts w:ascii="Arial" w:eastAsia="Gulim" w:hAnsi="Arial" w:cs="Arial"/>
          <w:sz w:val="20"/>
          <w:szCs w:val="20"/>
        </w:rPr>
        <w:t xml:space="preserve"> Technical Data Corporation Business Plan, Technical Data Corporation</w:t>
      </w:r>
      <w:r>
        <w:rPr>
          <w:rFonts w:ascii="Arial" w:eastAsia="Gulim" w:hAnsi="Arial" w:cs="Arial"/>
          <w:sz w:val="20"/>
          <w:szCs w:val="20"/>
        </w:rPr>
        <w:t xml:space="preserve">, Telewizja Wisla, </w:t>
      </w:r>
      <w:r w:rsidRPr="0059476B">
        <w:rPr>
          <w:rFonts w:ascii="Arial" w:eastAsia="Gulim" w:hAnsi="Arial" w:cs="Arial"/>
          <w:sz w:val="20"/>
          <w:szCs w:val="20"/>
        </w:rPr>
        <w:t>Lotus, Genset</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lastRenderedPageBreak/>
        <w:t>Module 2: Doing Deals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deal is the allocation of the value and control of the venture between the entrepreneur and investors.  A good deal must be a win-win; it must leave everybody better off; and it must properly align the incentives of everybody involved.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value of the venture is an important starting point.  However, the allocation of this value depends on the price of the financing, which in turn depends on the bargaining positions of the entrepreneur and investors.  This raises the important issue of whether the inventor or the financier is in a better position to capitalize on the value of the venture.  In other words, “who own the idea?”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build an understanding of term sheets and the convertible preferred shares typically used when financing start-ups.  Through a series of cases with companies, different situations and with different types of investors with different motivations, we develop our understanding of the purposes of the various terms, when they are appropriate and how to view them from the perspectives of the entrepreneur and the venture investor.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Term sheet; convertible (participating) preferred shares; liquidation preference; friends and family financing; angel investors; venture capital; strategic investors; control versus ownership; outside options (second-best alternatives, “best alternative to a negotiated agreement”).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00BF75C2">
        <w:rPr>
          <w:rFonts w:ascii="Arial" w:eastAsia="Gulim" w:hAnsi="Arial" w:cs="Arial"/>
          <w:sz w:val="20"/>
          <w:szCs w:val="20"/>
        </w:rPr>
        <w:t>Sunrise</w:t>
      </w:r>
      <w:r w:rsidRPr="0059476B">
        <w:rPr>
          <w:rFonts w:ascii="Arial" w:eastAsia="Gulim" w:hAnsi="Arial" w:cs="Arial"/>
          <w:sz w:val="20"/>
          <w:szCs w:val="20"/>
        </w:rPr>
        <w:t xml:space="preserve">, Circles, </w:t>
      </w:r>
      <w:r w:rsidRPr="0059476B">
        <w:rPr>
          <w:rFonts w:ascii="Arial" w:eastAsia="Gulim" w:hAnsi="Arial" w:cs="Arial"/>
          <w:i/>
          <w:sz w:val="20"/>
          <w:szCs w:val="20"/>
        </w:rPr>
        <w:t>Parenting</w:t>
      </w:r>
      <w:r w:rsidRPr="0059476B">
        <w:rPr>
          <w:rFonts w:ascii="Arial" w:eastAsia="Gulim" w:hAnsi="Arial" w:cs="Arial"/>
          <w:sz w:val="20"/>
          <w:szCs w:val="20"/>
        </w:rPr>
        <w:t xml:space="preserve"> Magazine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3: Exit</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Finally, for entrepreneurial finance, we turn to exit decisions, studying exit through sale of the venture or through an initial public offering.  We consider decisions of both entrepreneurs and financiers in the exit.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Exits and liquidity events, initial public offering, and acquisition.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Pr="0059476B">
        <w:rPr>
          <w:rFonts w:ascii="Arial" w:eastAsia="Gulim" w:hAnsi="Arial" w:cs="Arial"/>
          <w:sz w:val="20"/>
          <w:szCs w:val="20"/>
        </w:rPr>
        <w:t>Sun Brewing,</w:t>
      </w:r>
      <w:r w:rsidRPr="0059476B">
        <w:rPr>
          <w:rFonts w:ascii="Arial" w:eastAsia="Gulim" w:hAnsi="Arial" w:cs="Arial"/>
          <w:b/>
          <w:sz w:val="20"/>
          <w:szCs w:val="20"/>
        </w:rPr>
        <w:t xml:space="preserve"> </w:t>
      </w:r>
      <w:r w:rsidRPr="0059476B">
        <w:rPr>
          <w:rFonts w:ascii="Arial" w:eastAsia="Gulim" w:hAnsi="Arial" w:cs="Arial"/>
          <w:sz w:val="20"/>
          <w:szCs w:val="20"/>
        </w:rPr>
        <w:t>ArthroCare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4: Private Equity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conclude the course by integrating entrepreneurial finance with the economics of venture capital and private equity investing.  To understand the motivations of these investors, we need to understand their performance, compensation, and the legal structure of the general partner and its underlying funds.  This includes the motivations and decision process of the limited partners – typically large institutional investors – from which the private equity investors raise capital.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 xml:space="preserve">Limited partnership, partnership agreement, general and limited partners, management fees, carried interest, waterfall, early/late carry, </w:t>
      </w:r>
      <w:proofErr w:type="spellStart"/>
      <w:r w:rsidRPr="0059476B">
        <w:rPr>
          <w:rFonts w:ascii="Arial" w:eastAsia="Gulim" w:hAnsi="Arial" w:cs="Arial"/>
          <w:sz w:val="20"/>
          <w:szCs w:val="20"/>
        </w:rPr>
        <w:t>clawback</w:t>
      </w:r>
      <w:proofErr w:type="spellEnd"/>
      <w:r w:rsidRPr="0059476B">
        <w:rPr>
          <w:rFonts w:ascii="Arial" w:eastAsia="Gulim" w:hAnsi="Arial" w:cs="Arial"/>
          <w:sz w:val="20"/>
          <w:szCs w:val="20"/>
        </w:rPr>
        <w:t>, private equity governance model.</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lastRenderedPageBreak/>
        <w:t>COURSE REQUIREMENTS AND GRADING</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i/>
          <w:sz w:val="20"/>
          <w:szCs w:val="20"/>
        </w:rPr>
        <w:t>This course requires substantial preparation</w:t>
      </w:r>
      <w:r w:rsidRPr="0059476B">
        <w:rPr>
          <w:rFonts w:ascii="Arial" w:eastAsia="Gulim" w:hAnsi="Arial" w:cs="Arial"/>
          <w:sz w:val="20"/>
          <w:szCs w:val="20"/>
        </w:rPr>
        <w:t xml:space="preserve">.  For case discussion to be a meaningful experience, classroom participation is essential, and each student should be prepared such that he or she can both “open” a case analysis and contribute meaningfully to the ongoing flow of class discussion.  Pre-class discussion in groups is encouraged, particularly on cases.  Study questions will be also be provided for your guidance with each case assigned. </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1"/>
        </w:numPr>
        <w:autoSpaceDE/>
        <w:autoSpaceDN/>
        <w:adjustRightInd/>
        <w:rPr>
          <w:rFonts w:ascii="Arial" w:eastAsia="Gulim" w:hAnsi="Arial" w:cs="Arial"/>
          <w:i/>
          <w:sz w:val="20"/>
          <w:szCs w:val="20"/>
        </w:rPr>
      </w:pPr>
      <w:r w:rsidRPr="0059476B">
        <w:rPr>
          <w:rFonts w:ascii="Arial" w:eastAsia="Gulim" w:hAnsi="Arial" w:cs="Arial"/>
          <w:i/>
          <w:sz w:val="20"/>
          <w:szCs w:val="20"/>
        </w:rPr>
        <w:t>Active class participation is an important component of this course, and it will count for one-third of your course grade.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will also distribute three ungraded problem sets (on valuation, deal terms, and real options).  Solutions will be posted on the course website (CANVAS).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Students will be responsible for submitting a two-page memorandum of analysis and recommendation addressed to the major decision maker at the beginning of each case-related class session.  </w:t>
      </w:r>
      <w:r>
        <w:rPr>
          <w:rFonts w:ascii="Arial" w:eastAsia="Gulim" w:hAnsi="Arial" w:cs="Arial"/>
          <w:sz w:val="20"/>
          <w:szCs w:val="20"/>
        </w:rPr>
        <w:t xml:space="preserve">Write-ups are not required for the TDC Business Plan and BioLite cases.  </w:t>
      </w:r>
      <w:r w:rsidRPr="0059476B">
        <w:rPr>
          <w:rFonts w:ascii="Arial" w:eastAsia="Gulim" w:hAnsi="Arial" w:cs="Arial"/>
          <w:sz w:val="20"/>
          <w:szCs w:val="20"/>
        </w:rPr>
        <w:t xml:space="preserve">Group memoranda are acceptable:  No more than five students </w:t>
      </w:r>
      <w:r>
        <w:rPr>
          <w:rFonts w:ascii="Arial" w:eastAsia="Gulim" w:hAnsi="Arial" w:cs="Arial"/>
          <w:sz w:val="20"/>
          <w:szCs w:val="20"/>
        </w:rPr>
        <w:t>should be in a</w:t>
      </w:r>
      <w:r w:rsidRPr="0059476B">
        <w:rPr>
          <w:rFonts w:ascii="Arial" w:eastAsia="Gulim" w:hAnsi="Arial" w:cs="Arial"/>
          <w:sz w:val="20"/>
          <w:szCs w:val="20"/>
        </w:rPr>
        <w:t xml:space="preserve"> group; once formed, groups will work together for the week.  You may attach as many numerical calculations as necessary to support the two-page written memoranda of analysis and recommendation.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widowControl/>
        <w:numPr>
          <w:ilvl w:val="0"/>
          <w:numId w:val="2"/>
        </w:numPr>
        <w:autoSpaceDE/>
        <w:autoSpaceDN/>
        <w:adjustRightInd/>
        <w:rPr>
          <w:rFonts w:ascii="Arial" w:eastAsia="Gulim" w:hAnsi="Arial" w:cs="Arial"/>
          <w:i/>
          <w:sz w:val="20"/>
          <w:szCs w:val="20"/>
        </w:rPr>
      </w:pPr>
      <w:r w:rsidRPr="0059476B">
        <w:rPr>
          <w:rFonts w:ascii="Arial" w:eastAsia="Gulim" w:hAnsi="Arial" w:cs="Arial"/>
          <w:i/>
          <w:sz w:val="20"/>
          <w:szCs w:val="20"/>
        </w:rPr>
        <w:t>These memoranda grades will count for one-third of your course grade.  Groups should submit memoranda for all cases; we will record the best five grades.</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3"/>
        </w:numPr>
        <w:autoSpaceDE/>
        <w:autoSpaceDN/>
        <w:adjustRightInd/>
        <w:rPr>
          <w:rFonts w:ascii="Arial" w:eastAsia="Gulim" w:hAnsi="Arial" w:cs="Arial"/>
          <w:i/>
          <w:sz w:val="20"/>
          <w:szCs w:val="20"/>
        </w:rPr>
      </w:pPr>
      <w:r w:rsidRPr="0059476B">
        <w:rPr>
          <w:rFonts w:ascii="Arial" w:eastAsia="Gulim" w:hAnsi="Arial" w:cs="Arial"/>
          <w:i/>
          <w:sz w:val="20"/>
          <w:szCs w:val="20"/>
        </w:rPr>
        <w:t xml:space="preserve">For the last third of the course grade, you will have a final examination. </w:t>
      </w:r>
    </w:p>
    <w:p w:rsidR="00AB1CCD" w:rsidRPr="0059476B" w:rsidRDefault="00AB1CCD" w:rsidP="00AB1CCD">
      <w:pPr>
        <w:ind w:left="36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final examination will be a take-home case analysis to be prepared on an individual basis and will be available on </w:t>
      </w:r>
      <w:r w:rsidR="00D4417A">
        <w:rPr>
          <w:rFonts w:ascii="Arial" w:eastAsia="Gulim" w:hAnsi="Arial" w:cs="Arial"/>
          <w:sz w:val="20"/>
          <w:szCs w:val="20"/>
        </w:rPr>
        <w:t>Wednes</w:t>
      </w:r>
      <w:r w:rsidR="00020628">
        <w:rPr>
          <w:rFonts w:ascii="Arial" w:eastAsia="Gulim" w:hAnsi="Arial" w:cs="Arial"/>
          <w:sz w:val="20"/>
          <w:szCs w:val="20"/>
        </w:rPr>
        <w:t>day</w:t>
      </w:r>
      <w:r w:rsidRPr="0059476B">
        <w:rPr>
          <w:rFonts w:ascii="Arial" w:eastAsia="Gulim" w:hAnsi="Arial" w:cs="Arial"/>
          <w:sz w:val="20"/>
          <w:szCs w:val="20"/>
        </w:rPr>
        <w:t xml:space="preserve">, </w:t>
      </w:r>
      <w:r w:rsidR="00D4417A">
        <w:rPr>
          <w:rFonts w:ascii="Arial" w:eastAsia="Gulim" w:hAnsi="Arial" w:cs="Arial"/>
          <w:sz w:val="20"/>
          <w:szCs w:val="20"/>
        </w:rPr>
        <w:t>July 1</w:t>
      </w:r>
      <w:r w:rsidRPr="0059476B">
        <w:rPr>
          <w:rFonts w:ascii="Arial" w:eastAsia="Gulim" w:hAnsi="Arial" w:cs="Arial"/>
          <w:sz w:val="20"/>
          <w:szCs w:val="20"/>
        </w:rPr>
        <w:t xml:space="preserve">, to be submitted on the morning of </w:t>
      </w:r>
      <w:r w:rsidR="00D4417A">
        <w:rPr>
          <w:rFonts w:ascii="Arial" w:eastAsia="Gulim" w:hAnsi="Arial" w:cs="Arial"/>
          <w:sz w:val="20"/>
          <w:szCs w:val="20"/>
        </w:rPr>
        <w:t>Thursday</w:t>
      </w:r>
      <w:r w:rsidR="00020628">
        <w:rPr>
          <w:rFonts w:ascii="Arial" w:eastAsia="Gulim" w:hAnsi="Arial" w:cs="Arial"/>
          <w:sz w:val="20"/>
          <w:szCs w:val="20"/>
        </w:rPr>
        <w:t xml:space="preserve">, </w:t>
      </w:r>
      <w:r w:rsidR="00D4417A">
        <w:rPr>
          <w:rFonts w:ascii="Arial" w:eastAsia="Gulim" w:hAnsi="Arial" w:cs="Arial"/>
          <w:sz w:val="20"/>
          <w:szCs w:val="20"/>
        </w:rPr>
        <w:t>July 2</w:t>
      </w:r>
      <w:r w:rsidRPr="0059476B">
        <w:rPr>
          <w:rFonts w:ascii="Arial" w:eastAsia="Gulim" w:hAnsi="Arial" w:cs="Arial"/>
          <w:sz w:val="20"/>
          <w:szCs w:val="20"/>
        </w:rPr>
        <w:t>.  </w:t>
      </w:r>
      <w:r w:rsidRPr="0059476B" w:rsidDel="004361C2">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COURSE MATERIALS AND INFORMATION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Required readings and cases will be made available to you in the casebook.  The remainder of the course materials and information–case questions, teaching notes, announcements, case- and current event-specific Web links, and additional handouts–will be found on the course web page on CANVAS.  You should plan to check the site regularly, as we will not generally make available hard copies of materials published on the Website.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 reading materials are listed in at the end of this syllabus, and more materials are available (and on Reserve) on the CBS Watson library website: </w:t>
      </w:r>
      <w:hyperlink r:id="rId8" w:history="1">
        <w:r w:rsidRPr="0059476B">
          <w:rPr>
            <w:rFonts w:ascii="Arial" w:eastAsia="Gulim" w:hAnsi="Arial" w:cs="Arial"/>
            <w:sz w:val="20"/>
            <w:szCs w:val="20"/>
          </w:rPr>
          <w:t>http://library.columbia.edu/subject-guides/business/entrepreneurship.html</w:t>
        </w:r>
      </w:hyperlink>
      <w:r w:rsidRPr="0059476B">
        <w:rPr>
          <w:rFonts w:ascii="Arial" w:eastAsia="Gulim" w:hAnsi="Arial" w:cs="Arial"/>
          <w:sz w:val="20"/>
          <w:szCs w:val="20"/>
        </w:rPr>
        <w:t xml:space="preserve">.  For additional optional readings, you can come and see us.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Default="00AB1CCD" w:rsidP="00AB1CCD">
      <w:pPr>
        <w:pStyle w:val="NormalWeb"/>
        <w:spacing w:before="0" w:beforeAutospacing="0" w:after="0" w:afterAutospacing="0"/>
        <w:ind w:right="-180"/>
        <w:rPr>
          <w:rFonts w:ascii="Arial" w:eastAsia="Gulim" w:hAnsi="Arial" w:cs="Arial"/>
          <w:sz w:val="20"/>
          <w:szCs w:val="20"/>
        </w:rPr>
      </w:pPr>
      <w:r w:rsidRPr="0059476B">
        <w:rPr>
          <w:rFonts w:ascii="Arial" w:eastAsia="Gulim" w:hAnsi="Arial" w:cs="Arial"/>
          <w:sz w:val="20"/>
          <w:szCs w:val="20"/>
        </w:rPr>
        <w:t xml:space="preserve">Finally, if you are interested in related courses offered in the Columbia Business School's Entrepreneurship Program, please consult the Program's web page – </w:t>
      </w:r>
      <w:hyperlink r:id="rId9" w:history="1">
        <w:r w:rsidRPr="0059476B">
          <w:rPr>
            <w:rStyle w:val="Hyperlink"/>
            <w:rFonts w:ascii="Arial" w:eastAsia="Gulim" w:hAnsi="Arial" w:cs="Arial"/>
            <w:sz w:val="20"/>
            <w:szCs w:val="20"/>
          </w:rPr>
          <w:t>http://www4.gsb.columbia.edu/entrepreneurship</w:t>
        </w:r>
      </w:hyperlink>
      <w:r w:rsidRPr="0059476B">
        <w:rPr>
          <w:rFonts w:ascii="Arial" w:eastAsia="Gulim" w:hAnsi="Arial" w:cs="Arial"/>
          <w:sz w:val="20"/>
          <w:szCs w:val="20"/>
        </w:rPr>
        <w:t>.</w:t>
      </w:r>
    </w:p>
    <w:p w:rsidR="00AB1CCD" w:rsidRDefault="00AB1CCD" w:rsidP="00AB1CCD">
      <w:pPr>
        <w:pStyle w:val="NormalWeb"/>
        <w:spacing w:before="0" w:beforeAutospacing="0" w:after="0" w:afterAutospacing="0"/>
        <w:ind w:right="-180"/>
        <w:rPr>
          <w:rFonts w:ascii="Arial" w:eastAsia="Gulim" w:hAnsi="Arial" w:cs="Arial"/>
          <w:sz w:val="20"/>
          <w:szCs w:val="20"/>
        </w:rPr>
        <w:sectPr w:rsidR="00AB1CCD" w:rsidSect="004F2F91">
          <w:footerReference w:type="default" r:id="rId10"/>
          <w:pgSz w:w="12240" w:h="15840" w:code="1"/>
          <w:pgMar w:top="1440" w:right="1440" w:bottom="1440" w:left="1440" w:header="720" w:footer="720" w:gutter="0"/>
          <w:pgNumType w:fmt="lowerRoman"/>
          <w:cols w:space="720"/>
          <w:docGrid w:linePitch="360"/>
        </w:sectPr>
      </w:pPr>
    </w:p>
    <w:p w:rsidR="00AB1CCD" w:rsidRDefault="00F81A19" w:rsidP="00AB1CCD">
      <w:pPr>
        <w:pStyle w:val="NormalWeb"/>
        <w:spacing w:before="0" w:beforeAutospacing="0" w:after="0" w:afterAutospacing="0"/>
        <w:ind w:right="-180"/>
        <w:rPr>
          <w:rFonts w:ascii="Arial" w:eastAsia="Gulim" w:hAnsi="Arial" w:cs="Arial"/>
          <w:b/>
          <w:sz w:val="20"/>
          <w:szCs w:val="20"/>
        </w:rPr>
      </w:pPr>
      <w:r>
        <w:rPr>
          <w:rFonts w:ascii="Arial" w:eastAsia="Gulim" w:hAnsi="Arial" w:cs="Arial"/>
          <w:b/>
          <w:sz w:val="20"/>
          <w:szCs w:val="20"/>
        </w:rPr>
        <w:lastRenderedPageBreak/>
        <w:t>Game Plan</w:t>
      </w:r>
      <w:r w:rsidR="00F126DA">
        <w:rPr>
          <w:rFonts w:ascii="Arial" w:eastAsia="Gulim" w:hAnsi="Arial" w:cs="Arial"/>
          <w:b/>
          <w:sz w:val="20"/>
          <w:szCs w:val="20"/>
        </w:rPr>
        <w:t xml:space="preserve"> – SU2015</w:t>
      </w:r>
      <w:bookmarkStart w:id="0" w:name="_GoBack"/>
      <w:bookmarkEnd w:id="0"/>
    </w:p>
    <w:tbl>
      <w:tblPr>
        <w:tblpPr w:leftFromText="180" w:rightFromText="180" w:vertAnchor="page" w:horzAnchor="page" w:tblpX="956" w:tblpY="1081"/>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17"/>
        <w:gridCol w:w="1350"/>
        <w:gridCol w:w="2512"/>
        <w:gridCol w:w="2356"/>
        <w:gridCol w:w="2070"/>
        <w:gridCol w:w="2107"/>
        <w:gridCol w:w="2123"/>
      </w:tblGrid>
      <w:tr w:rsidR="00F126DA" w:rsidRPr="007F1614" w:rsidTr="00E842A7">
        <w:trPr>
          <w:trHeight w:val="44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Day   1</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3</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4</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5</w:t>
            </w:r>
          </w:p>
        </w:tc>
      </w:tr>
      <w:tr w:rsidR="00F126DA" w:rsidRPr="007F1614" w:rsidTr="00E842A7">
        <w:trPr>
          <w:trHeight w:val="53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Sunday,</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June 28</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Monday,</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June 29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Tuesday,</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June 30</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 xml:space="preserve">Wednesday, </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July 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 xml:space="preserve">Thursday, </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July 2</w:t>
            </w:r>
          </w:p>
        </w:tc>
      </w:tr>
      <w:tr w:rsidR="00F126DA" w:rsidRPr="007F1614" w:rsidTr="00E842A7">
        <w:trPr>
          <w:trHeight w:val="62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Breakfast</w:t>
            </w:r>
          </w:p>
          <w:p w:rsidR="00F126DA" w:rsidRPr="007F1614" w:rsidRDefault="00F126DA" w:rsidP="00E842A7">
            <w:pPr>
              <w:jc w:val="right"/>
              <w:rPr>
                <w:rFonts w:ascii="Calibri" w:hAnsi="Calibri" w:cs="Calibri"/>
                <w:color w:val="000000" w:themeColor="text1"/>
                <w:sz w:val="18"/>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8:00 – 9:00</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7:00 – 8:00</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7:00 – 8:00</w:t>
            </w:r>
          </w:p>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i/>
                <w:color w:val="000000" w:themeColor="text1"/>
                <w:sz w:val="18"/>
                <w:szCs w:val="20"/>
              </w:rPr>
              <w:t>Hepburn Lounge</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7:00 – 8:00</w:t>
            </w:r>
          </w:p>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i/>
                <w:color w:val="000000" w:themeColor="text1"/>
                <w:sz w:val="18"/>
                <w:szCs w:val="20"/>
              </w:rPr>
              <w:t>Hepburn Lounge</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8:00 – 9:00</w:t>
            </w:r>
          </w:p>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i/>
                <w:color w:val="000000" w:themeColor="text1"/>
                <w:sz w:val="18"/>
                <w:szCs w:val="20"/>
              </w:rPr>
              <w:t>Hepburn Lounge</w:t>
            </w:r>
          </w:p>
        </w:tc>
      </w:tr>
      <w:tr w:rsidR="00F126DA" w:rsidRPr="007F1614" w:rsidTr="00E842A7">
        <w:trPr>
          <w:trHeight w:val="71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Early Morning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8:00 – 9:00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(8:30) Introduction / Formation of groups</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Notes:</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Business Plans and Models</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 Nina Tandon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Guest: Robert </w:t>
            </w:r>
            <w:proofErr w:type="spellStart"/>
            <w:r w:rsidRPr="007F1614">
              <w:rPr>
                <w:rFonts w:ascii="Calibri" w:hAnsi="Calibri" w:cs="Calibri"/>
                <w:color w:val="000000" w:themeColor="text1"/>
                <w:sz w:val="18"/>
                <w:szCs w:val="20"/>
              </w:rPr>
              <w:t>Reffkin</w:t>
            </w:r>
            <w:proofErr w:type="spellEnd"/>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Sunrise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Renegotiation</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593"/>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Morning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9:00 – 10:30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Technical Data Corporation Business Plan  </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Venture Capital and BioLite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 John Levy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Genset</w:t>
            </w:r>
          </w:p>
        </w:tc>
        <w:tc>
          <w:tcPr>
            <w:tcW w:w="2107"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Lecture: </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Who Owns an Idea?</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Notes:</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Sources of Funding</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Sun Brewing</w:t>
            </w:r>
          </w:p>
        </w:tc>
      </w:tr>
      <w:tr w:rsidR="00F126DA" w:rsidRPr="007F1614" w:rsidTr="00E842A7">
        <w:trPr>
          <w:trHeight w:hRule="exact" w:val="288"/>
        </w:trPr>
        <w:tc>
          <w:tcPr>
            <w:tcW w:w="1817"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Break</w:t>
            </w:r>
          </w:p>
        </w:tc>
        <w:tc>
          <w:tcPr>
            <w:tcW w:w="1350"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10:30 – 11:00</w:t>
            </w:r>
          </w:p>
        </w:tc>
        <w:tc>
          <w:tcPr>
            <w:tcW w:w="251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356"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10:30 – 11:30</w:t>
            </w:r>
          </w:p>
          <w:p w:rsidR="00F126DA" w:rsidRPr="007F1614" w:rsidRDefault="00F126DA" w:rsidP="00E842A7">
            <w:pPr>
              <w:jc w:val="center"/>
              <w:rPr>
                <w:rFonts w:ascii="Calibri" w:hAnsi="Calibri" w:cs="Calibri"/>
                <w:color w:val="000000" w:themeColor="text1"/>
                <w:sz w:val="18"/>
                <w:szCs w:val="20"/>
              </w:rPr>
            </w:pPr>
          </w:p>
        </w:tc>
        <w:tc>
          <w:tcPr>
            <w:tcW w:w="2070"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7"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23"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315"/>
        </w:trPr>
        <w:tc>
          <w:tcPr>
            <w:tcW w:w="1817"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350"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51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356" w:type="dxa"/>
            <w:vMerge/>
            <w:tcBorders>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70"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23"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229"/>
        </w:trPr>
        <w:tc>
          <w:tcPr>
            <w:tcW w:w="1817"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Noon Block</w:t>
            </w:r>
          </w:p>
        </w:tc>
        <w:tc>
          <w:tcPr>
            <w:tcW w:w="1350"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11:00 – 12:30</w:t>
            </w:r>
          </w:p>
        </w:tc>
        <w:tc>
          <w:tcPr>
            <w:tcW w:w="251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Valuation</w:t>
            </w:r>
          </w:p>
        </w:tc>
        <w:tc>
          <w:tcPr>
            <w:tcW w:w="2356" w:type="dxa"/>
            <w:vMerge/>
            <w:tcBorders>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70"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Deal Terms</w:t>
            </w:r>
          </w:p>
        </w:tc>
        <w:tc>
          <w:tcPr>
            <w:tcW w:w="2107"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Circles</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Guest: Hugh </w:t>
            </w:r>
            <w:proofErr w:type="spellStart"/>
            <w:r w:rsidRPr="007F1614">
              <w:rPr>
                <w:rFonts w:ascii="Calibri" w:hAnsi="Calibri" w:cs="Calibri"/>
                <w:color w:val="000000" w:themeColor="text1"/>
                <w:sz w:val="18"/>
                <w:szCs w:val="20"/>
              </w:rPr>
              <w:t>Merryweather</w:t>
            </w:r>
            <w:proofErr w:type="spellEnd"/>
          </w:p>
        </w:tc>
        <w:tc>
          <w:tcPr>
            <w:tcW w:w="2123"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11:00 – 1:00</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Early 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ArthroCare</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r>
      <w:tr w:rsidR="00F126DA" w:rsidRPr="007F1614" w:rsidTr="00E842A7">
        <w:trPr>
          <w:trHeight w:val="442"/>
        </w:trPr>
        <w:tc>
          <w:tcPr>
            <w:tcW w:w="1817" w:type="dxa"/>
            <w:vMerge/>
            <w:tcBorders>
              <w:left w:val="single" w:sz="4" w:space="0" w:color="auto"/>
              <w:right w:val="single" w:sz="4" w:space="0" w:color="auto"/>
            </w:tcBorders>
            <w:shd w:val="clear" w:color="auto" w:fill="auto"/>
            <w:noWrap/>
            <w:vAlign w:val="center"/>
          </w:tcPr>
          <w:p w:rsidR="00F126DA" w:rsidRPr="007F1614" w:rsidRDefault="00F126DA" w:rsidP="00E842A7">
            <w:pPr>
              <w:jc w:val="right"/>
              <w:rPr>
                <w:rFonts w:ascii="Calibri" w:hAnsi="Calibri" w:cs="Calibri"/>
                <w:color w:val="000000" w:themeColor="text1"/>
                <w:sz w:val="18"/>
                <w:szCs w:val="20"/>
              </w:rPr>
            </w:pPr>
          </w:p>
        </w:tc>
        <w:tc>
          <w:tcPr>
            <w:tcW w:w="1350" w:type="dxa"/>
            <w:vMerge/>
            <w:tcBorders>
              <w:left w:val="single" w:sz="4" w:space="0" w:color="auto"/>
              <w:right w:val="single" w:sz="4" w:space="0" w:color="auto"/>
            </w:tcBorders>
            <w:shd w:val="clear" w:color="auto" w:fill="auto"/>
            <w:noWrap/>
            <w:vAlign w:val="center"/>
          </w:tcPr>
          <w:p w:rsidR="00F126DA" w:rsidRPr="007F1614" w:rsidRDefault="00F126DA" w:rsidP="00E842A7">
            <w:pPr>
              <w:jc w:val="center"/>
              <w:rPr>
                <w:rFonts w:ascii="Calibri" w:hAnsi="Calibri" w:cs="Calibri"/>
                <w:color w:val="000000" w:themeColor="text1"/>
                <w:sz w:val="18"/>
                <w:szCs w:val="20"/>
              </w:rPr>
            </w:pPr>
          </w:p>
        </w:tc>
        <w:tc>
          <w:tcPr>
            <w:tcW w:w="2512" w:type="dxa"/>
            <w:vMerge/>
            <w:tcBorders>
              <w:left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356" w:type="dxa"/>
            <w:tcBorders>
              <w:left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11:30 – 12:30</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TVW</w:t>
            </w:r>
          </w:p>
        </w:tc>
        <w:tc>
          <w:tcPr>
            <w:tcW w:w="2070" w:type="dxa"/>
            <w:vMerge/>
            <w:tcBorders>
              <w:left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107" w:type="dxa"/>
            <w:vMerge/>
            <w:tcBorders>
              <w:left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123" w:type="dxa"/>
            <w:vMerge/>
            <w:tcBorders>
              <w:left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244"/>
        </w:trPr>
        <w:tc>
          <w:tcPr>
            <w:tcW w:w="1817"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Lunch</w:t>
            </w:r>
          </w:p>
        </w:tc>
        <w:tc>
          <w:tcPr>
            <w:tcW w:w="1350"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12:30 – 2:30</w:t>
            </w:r>
          </w:p>
        </w:tc>
        <w:tc>
          <w:tcPr>
            <w:tcW w:w="251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Technical Data Corporation</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356"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12:30 – 2:00 </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Lotus</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070"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Trendsetter</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107"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Parenting</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123"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611"/>
        </w:trPr>
        <w:tc>
          <w:tcPr>
            <w:tcW w:w="1817"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350"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51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356"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70"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7"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1:00 – 2:30</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   ArthroCare</w:t>
            </w:r>
          </w:p>
        </w:tc>
      </w:tr>
      <w:tr w:rsidR="00F126DA" w:rsidRPr="007F1614" w:rsidTr="00E842A7">
        <w:trPr>
          <w:trHeight w:val="547"/>
        </w:trPr>
        <w:tc>
          <w:tcPr>
            <w:tcW w:w="1817"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Afternoon Block</w:t>
            </w:r>
          </w:p>
        </w:tc>
        <w:tc>
          <w:tcPr>
            <w:tcW w:w="1350"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2:30 – 4:00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Technical Data Corporation</w:t>
            </w:r>
          </w:p>
        </w:tc>
        <w:tc>
          <w:tcPr>
            <w:tcW w:w="2356" w:type="dxa"/>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2:00 – 2:45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Lotus</w:t>
            </w:r>
          </w:p>
        </w:tc>
        <w:tc>
          <w:tcPr>
            <w:tcW w:w="2070"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Sunrise</w:t>
            </w:r>
          </w:p>
        </w:tc>
        <w:tc>
          <w:tcPr>
            <w:tcW w:w="2107"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Parenting</w:t>
            </w:r>
          </w:p>
        </w:tc>
        <w:tc>
          <w:tcPr>
            <w:tcW w:w="2123"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Wrap-Up / One-Minute Entrepreneurial Finance</w:t>
            </w:r>
          </w:p>
        </w:tc>
      </w:tr>
      <w:tr w:rsidR="00F126DA" w:rsidRPr="007F1614" w:rsidTr="00E842A7">
        <w:trPr>
          <w:trHeight w:val="550"/>
        </w:trPr>
        <w:tc>
          <w:tcPr>
            <w:tcW w:w="1817"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350"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Toward a Theory of Entrepreneurship</w:t>
            </w:r>
          </w:p>
        </w:tc>
        <w:tc>
          <w:tcPr>
            <w:tcW w:w="2356" w:type="dxa"/>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2:45 – 3:45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Real Options (Part 1)</w:t>
            </w:r>
          </w:p>
        </w:tc>
        <w:tc>
          <w:tcPr>
            <w:tcW w:w="2070"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7"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23"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431"/>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Break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4:00 – 4:30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3:45 – 4:15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547"/>
        </w:trPr>
        <w:tc>
          <w:tcPr>
            <w:tcW w:w="1817"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Pulling it Together</w:t>
            </w:r>
          </w:p>
        </w:tc>
        <w:tc>
          <w:tcPr>
            <w:tcW w:w="1350"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4:30 – 6:00</w:t>
            </w:r>
          </w:p>
        </w:tc>
        <w:tc>
          <w:tcPr>
            <w:tcW w:w="251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Identifying Opportunities:</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  A TDC-Style New Opportunity</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 Tim Hwang</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4:15 – 5:15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Real Options (Part 2)</w:t>
            </w:r>
          </w:p>
        </w:tc>
        <w:tc>
          <w:tcPr>
            <w:tcW w:w="2070"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Options for Exit</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 Paul Queally</w:t>
            </w:r>
          </w:p>
        </w:tc>
        <w:tc>
          <w:tcPr>
            <w:tcW w:w="2107"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Private Equity</w:t>
            </w:r>
          </w:p>
        </w:tc>
        <w:tc>
          <w:tcPr>
            <w:tcW w:w="2123"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546"/>
        </w:trPr>
        <w:tc>
          <w:tcPr>
            <w:tcW w:w="1817"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350"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51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356"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5:15 – 7:15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Review Session (with light dinner)</w:t>
            </w:r>
          </w:p>
        </w:tc>
        <w:tc>
          <w:tcPr>
            <w:tcW w:w="2070"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7"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23"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301"/>
        </w:trPr>
        <w:tc>
          <w:tcPr>
            <w:tcW w:w="1817"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Evening</w:t>
            </w:r>
          </w:p>
        </w:tc>
        <w:tc>
          <w:tcPr>
            <w:tcW w:w="1350"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6:00 – 8:00</w:t>
            </w:r>
          </w:p>
        </w:tc>
        <w:tc>
          <w:tcPr>
            <w:tcW w:w="2512" w:type="dxa"/>
            <w:vMerge w:val="restart"/>
            <w:tcBorders>
              <w:top w:val="single" w:sz="4" w:space="0" w:color="auto"/>
              <w:left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Reception:</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Hepburn Lounge</w:t>
            </w:r>
          </w:p>
        </w:tc>
        <w:tc>
          <w:tcPr>
            <w:tcW w:w="2356"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70"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Reception:</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Hepburn Lounge</w:t>
            </w:r>
          </w:p>
        </w:tc>
        <w:tc>
          <w:tcPr>
            <w:tcW w:w="2107"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23"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301"/>
        </w:trPr>
        <w:tc>
          <w:tcPr>
            <w:tcW w:w="1817" w:type="dxa"/>
            <w:vMerge/>
            <w:tcBorders>
              <w:left w:val="single" w:sz="4" w:space="0" w:color="auto"/>
              <w:bottom w:val="single" w:sz="4" w:space="0" w:color="auto"/>
              <w:right w:val="single" w:sz="4" w:space="0" w:color="auto"/>
            </w:tcBorders>
            <w:shd w:val="clear" w:color="auto" w:fill="auto"/>
            <w:noWrap/>
            <w:vAlign w:val="center"/>
          </w:tcPr>
          <w:p w:rsidR="00F126DA" w:rsidRPr="007F1614" w:rsidRDefault="00F126DA" w:rsidP="00E842A7">
            <w:pPr>
              <w:jc w:val="right"/>
              <w:rPr>
                <w:rFonts w:ascii="Calibri" w:hAnsi="Calibri" w:cs="Calibri"/>
                <w:color w:val="000000" w:themeColor="text1"/>
                <w:sz w:val="18"/>
                <w:szCs w:val="20"/>
              </w:rPr>
            </w:pPr>
          </w:p>
        </w:tc>
        <w:tc>
          <w:tcPr>
            <w:tcW w:w="1350" w:type="dxa"/>
            <w:vMerge/>
            <w:tcBorders>
              <w:left w:val="single" w:sz="4" w:space="0" w:color="auto"/>
              <w:bottom w:val="single" w:sz="4" w:space="0" w:color="auto"/>
              <w:right w:val="single" w:sz="4" w:space="0" w:color="auto"/>
            </w:tcBorders>
            <w:shd w:val="clear" w:color="auto" w:fill="auto"/>
            <w:noWrap/>
            <w:vAlign w:val="center"/>
          </w:tcPr>
          <w:p w:rsidR="00F126DA" w:rsidRPr="007F1614" w:rsidRDefault="00F126DA" w:rsidP="00E842A7">
            <w:pPr>
              <w:jc w:val="center"/>
              <w:rPr>
                <w:rFonts w:ascii="Calibri" w:hAnsi="Calibri" w:cs="Calibri"/>
                <w:color w:val="000000" w:themeColor="text1"/>
                <w:sz w:val="18"/>
                <w:szCs w:val="20"/>
              </w:rPr>
            </w:pPr>
          </w:p>
        </w:tc>
        <w:tc>
          <w:tcPr>
            <w:tcW w:w="2512"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070"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107"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123"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r>
      <w:tr w:rsidR="00F126DA" w:rsidRPr="007F1614" w:rsidTr="00E842A7">
        <w:trPr>
          <w:trHeight w:val="852"/>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Assignment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TVW</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Genset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Circles</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Sun Brewing</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bl>
    <w:p w:rsidR="00F126DA" w:rsidRDefault="00F126DA" w:rsidP="00AB1CCD">
      <w:pPr>
        <w:pStyle w:val="NormalWeb"/>
        <w:spacing w:before="0" w:beforeAutospacing="0" w:after="0" w:afterAutospacing="0"/>
        <w:rPr>
          <w:rFonts w:ascii="Arial" w:eastAsia="Gulim" w:hAnsi="Arial" w:cs="Arial"/>
          <w:b/>
          <w:sz w:val="20"/>
          <w:szCs w:val="20"/>
        </w:rPr>
      </w:pPr>
    </w:p>
    <w:p w:rsidR="00F126DA" w:rsidRDefault="00F126DA" w:rsidP="00AB1CCD">
      <w:pPr>
        <w:pStyle w:val="NormalWeb"/>
        <w:spacing w:before="0" w:beforeAutospacing="0" w:after="0" w:afterAutospacing="0"/>
        <w:rPr>
          <w:rFonts w:ascii="Arial" w:eastAsia="Gulim" w:hAnsi="Arial" w:cs="Arial"/>
          <w:b/>
          <w:sz w:val="20"/>
          <w:szCs w:val="20"/>
        </w:rPr>
        <w:sectPr w:rsidR="00F126DA" w:rsidSect="000D694E">
          <w:pgSz w:w="15840" w:h="12240" w:orient="landscape" w:code="1"/>
          <w:pgMar w:top="547" w:right="720" w:bottom="720" w:left="720" w:header="720" w:footer="720" w:gutter="0"/>
          <w:pgNumType w:fmt="lowerRoman"/>
          <w:cols w:space="720"/>
          <w:docGrid w:linePitch="360"/>
        </w:sectPr>
      </w:pPr>
    </w:p>
    <w:p w:rsidR="00AB1CCD" w:rsidRPr="0059476B" w:rsidRDefault="00AB1CCD" w:rsidP="00AB1CCD">
      <w:pPr>
        <w:jc w:val="center"/>
        <w:rPr>
          <w:rFonts w:ascii="Arial" w:eastAsia="Gulim" w:hAnsi="Arial" w:cs="Arial"/>
          <w:b/>
          <w:bCs/>
          <w:sz w:val="20"/>
          <w:szCs w:val="20"/>
        </w:rPr>
      </w:pPr>
      <w:r w:rsidRPr="0059476B">
        <w:rPr>
          <w:rFonts w:ascii="Arial" w:eastAsia="Gulim" w:hAnsi="Arial" w:cs="Arial"/>
          <w:b/>
          <w:bCs/>
          <w:sz w:val="20"/>
          <w:szCs w:val="20"/>
        </w:rPr>
        <w:lastRenderedPageBreak/>
        <w:t>OPTIONAL REFERENCES FOR ADDITIONAL STUDY</w:t>
      </w:r>
    </w:p>
    <w:p w:rsidR="00AB1CCD" w:rsidRPr="0059476B" w:rsidRDefault="00AB1CCD" w:rsidP="00AB1CCD">
      <w:pPr>
        <w:rPr>
          <w:rFonts w:ascii="Arial" w:eastAsia="Gulim" w:hAnsi="Arial" w:cs="Arial"/>
          <w:b/>
          <w:bCs/>
          <w:sz w:val="20"/>
          <w:szCs w:val="20"/>
        </w:rPr>
      </w:pPr>
    </w:p>
    <w:p w:rsidR="00AB1CCD" w:rsidRPr="0059476B" w:rsidRDefault="00AB1CCD" w:rsidP="00AB1CCD">
      <w:pPr>
        <w:rPr>
          <w:rFonts w:ascii="Arial" w:eastAsia="Gulim" w:hAnsi="Arial" w:cs="Arial"/>
          <w:b/>
          <w:bCs/>
          <w:sz w:val="20"/>
          <w:szCs w:val="20"/>
        </w:rPr>
      </w:pPr>
    </w:p>
    <w:p w:rsidR="00AB1CCD" w:rsidRPr="0059476B" w:rsidRDefault="00AB1CCD" w:rsidP="00AB1CCD">
      <w:pPr>
        <w:pStyle w:val="Level1"/>
        <w:tabs>
          <w:tab w:val="left" w:pos="-1440"/>
          <w:tab w:val="num" w:pos="720"/>
        </w:tabs>
        <w:spacing w:after="120"/>
        <w:rPr>
          <w:rFonts w:ascii="Arial" w:eastAsia="Gulim" w:hAnsi="Arial" w:cs="Arial"/>
          <w:b/>
          <w:sz w:val="20"/>
          <w:szCs w:val="20"/>
        </w:rPr>
      </w:pPr>
      <w:r w:rsidRPr="0059476B">
        <w:rPr>
          <w:rFonts w:ascii="Arial" w:eastAsia="Gulim" w:hAnsi="Arial" w:cs="Arial"/>
          <w:b/>
          <w:sz w:val="20"/>
          <w:szCs w:val="20"/>
        </w:rPr>
        <w:t>INTRODUCTION AND OVERVIEW</w:t>
      </w:r>
    </w:p>
    <w:p w:rsidR="00AB1CCD" w:rsidRPr="0059476B" w:rsidRDefault="00AB1CCD" w:rsidP="00AB1CCD">
      <w:pPr>
        <w:spacing w:after="120"/>
        <w:ind w:left="1440" w:hanging="720"/>
        <w:rPr>
          <w:rFonts w:ascii="Arial" w:eastAsia="Gulim" w:hAnsi="Arial" w:cs="Arial"/>
          <w:sz w:val="20"/>
          <w:szCs w:val="20"/>
        </w:rPr>
      </w:pPr>
      <w:r w:rsidRPr="0059476B">
        <w:rPr>
          <w:rFonts w:ascii="Arial" w:eastAsia="Gulim" w:hAnsi="Arial" w:cs="Arial"/>
          <w:sz w:val="20"/>
          <w:szCs w:val="20"/>
        </w:rPr>
        <w:t xml:space="preserve">A. Bhide, </w:t>
      </w:r>
      <w:proofErr w:type="gramStart"/>
      <w:r w:rsidRPr="0059476B">
        <w:rPr>
          <w:rFonts w:ascii="Arial" w:eastAsia="Gulim" w:hAnsi="Arial" w:cs="Arial"/>
          <w:i/>
          <w:iCs/>
          <w:sz w:val="20"/>
          <w:szCs w:val="20"/>
        </w:rPr>
        <w:t>The</w:t>
      </w:r>
      <w:proofErr w:type="gramEnd"/>
      <w:r w:rsidRPr="0059476B">
        <w:rPr>
          <w:rFonts w:ascii="Arial" w:eastAsia="Gulim" w:hAnsi="Arial" w:cs="Arial"/>
          <w:i/>
          <w:iCs/>
          <w:sz w:val="20"/>
          <w:szCs w:val="20"/>
        </w:rPr>
        <w:t xml:space="preserve"> Origin and Evolution of New Business</w:t>
      </w:r>
      <w:r w:rsidRPr="0059476B">
        <w:rPr>
          <w:rFonts w:ascii="Arial" w:eastAsia="Gulim" w:hAnsi="Arial" w:cs="Arial"/>
          <w:sz w:val="20"/>
          <w:szCs w:val="20"/>
        </w:rPr>
        <w:t>, Oxford: Oxford University Press, 1999.</w:t>
      </w:r>
    </w:p>
    <w:p w:rsidR="00AB1CCD" w:rsidRPr="0059476B" w:rsidRDefault="00AB1CCD" w:rsidP="00AB1CCD">
      <w:pPr>
        <w:spacing w:after="120"/>
        <w:ind w:firstLine="720"/>
        <w:rPr>
          <w:rFonts w:ascii="Arial" w:eastAsia="Gulim" w:hAnsi="Arial" w:cs="Arial"/>
          <w:sz w:val="20"/>
          <w:szCs w:val="20"/>
        </w:rPr>
      </w:pPr>
      <w:r w:rsidRPr="0059476B">
        <w:rPr>
          <w:rFonts w:ascii="Arial" w:eastAsia="Gulim" w:hAnsi="Arial" w:cs="Arial"/>
          <w:sz w:val="20"/>
          <w:szCs w:val="20"/>
        </w:rPr>
        <w:t xml:space="preserve">R. </w:t>
      </w:r>
      <w:proofErr w:type="spellStart"/>
      <w:r w:rsidRPr="0059476B">
        <w:rPr>
          <w:rFonts w:ascii="Arial" w:eastAsia="Gulim" w:hAnsi="Arial" w:cs="Arial"/>
          <w:sz w:val="20"/>
          <w:szCs w:val="20"/>
        </w:rPr>
        <w:t>Coase</w:t>
      </w:r>
      <w:proofErr w:type="spellEnd"/>
      <w:r w:rsidRPr="0059476B">
        <w:rPr>
          <w:rFonts w:ascii="Arial" w:eastAsia="Gulim" w:hAnsi="Arial" w:cs="Arial"/>
          <w:sz w:val="20"/>
          <w:szCs w:val="20"/>
        </w:rPr>
        <w:t xml:space="preserve">, “The Nature of the Firm,” </w:t>
      </w:r>
      <w:proofErr w:type="spellStart"/>
      <w:r w:rsidRPr="0059476B">
        <w:rPr>
          <w:rFonts w:ascii="Arial" w:eastAsia="Gulim" w:hAnsi="Arial" w:cs="Arial"/>
          <w:i/>
          <w:iCs/>
          <w:sz w:val="20"/>
          <w:szCs w:val="20"/>
        </w:rPr>
        <w:t>Economica</w:t>
      </w:r>
      <w:proofErr w:type="spellEnd"/>
      <w:r w:rsidRPr="0059476B">
        <w:rPr>
          <w:rFonts w:ascii="Arial" w:eastAsia="Gulim" w:hAnsi="Arial" w:cs="Arial"/>
          <w:sz w:val="20"/>
          <w:szCs w:val="20"/>
        </w:rPr>
        <w:t xml:space="preserve"> (1937).</w:t>
      </w:r>
    </w:p>
    <w:p w:rsidR="00AB1CCD" w:rsidRPr="0059476B" w:rsidRDefault="00AB1CCD" w:rsidP="00AB1CCD">
      <w:pPr>
        <w:spacing w:after="120"/>
        <w:ind w:left="1440" w:hanging="720"/>
        <w:rPr>
          <w:rFonts w:ascii="Arial" w:eastAsia="Gulim" w:hAnsi="Arial" w:cs="Arial"/>
          <w:sz w:val="20"/>
          <w:szCs w:val="20"/>
        </w:rPr>
      </w:pPr>
      <w:r w:rsidRPr="0059476B">
        <w:rPr>
          <w:rFonts w:ascii="Arial" w:eastAsia="Gulim" w:hAnsi="Arial" w:cs="Arial"/>
          <w:sz w:val="20"/>
          <w:szCs w:val="20"/>
        </w:rPr>
        <w:t xml:space="preserve">G. Fenn, N. Liang, and S. Prowse, </w:t>
      </w:r>
      <w:r w:rsidRPr="0059476B">
        <w:rPr>
          <w:rFonts w:ascii="Arial" w:eastAsia="Gulim" w:hAnsi="Arial" w:cs="Arial"/>
          <w:i/>
          <w:iCs/>
          <w:sz w:val="20"/>
          <w:szCs w:val="20"/>
        </w:rPr>
        <w:t>The Economics of the Private Equity Market</w:t>
      </w:r>
      <w:r w:rsidRPr="0059476B">
        <w:rPr>
          <w:rFonts w:ascii="Arial" w:eastAsia="Gulim" w:hAnsi="Arial" w:cs="Arial"/>
          <w:sz w:val="20"/>
          <w:szCs w:val="20"/>
        </w:rPr>
        <w:t>, Washington, D.C. : Board of Governors of the Federal Reserve System, 1995, Chapters 1 and 3.</w:t>
      </w:r>
    </w:p>
    <w:p w:rsidR="00AB1CCD" w:rsidRPr="0059476B" w:rsidRDefault="00AB1CCD" w:rsidP="00AB1CCD">
      <w:pPr>
        <w:spacing w:after="120"/>
        <w:ind w:left="1440" w:hanging="720"/>
        <w:rPr>
          <w:rFonts w:ascii="Arial" w:eastAsia="Gulim" w:hAnsi="Arial" w:cs="Arial"/>
          <w:sz w:val="20"/>
          <w:szCs w:val="20"/>
        </w:rPr>
      </w:pPr>
      <w:r w:rsidRPr="0059476B">
        <w:rPr>
          <w:rFonts w:ascii="Arial" w:eastAsia="Gulim" w:hAnsi="Arial" w:cs="Arial"/>
          <w:sz w:val="20"/>
          <w:szCs w:val="20"/>
        </w:rPr>
        <w:t xml:space="preserve">W.M. Gentry and R.G. Hubbard, "Tax Policy and Entrepreneurial Entry."  </w:t>
      </w:r>
      <w:r w:rsidRPr="0059476B">
        <w:rPr>
          <w:rFonts w:ascii="Arial" w:eastAsia="Gulim" w:hAnsi="Arial" w:cs="Arial"/>
          <w:i/>
          <w:iCs/>
          <w:sz w:val="20"/>
          <w:szCs w:val="20"/>
        </w:rPr>
        <w:t>American Economic Review</w:t>
      </w:r>
      <w:r w:rsidRPr="0059476B">
        <w:rPr>
          <w:rFonts w:ascii="Arial" w:eastAsia="Gulim" w:hAnsi="Arial" w:cs="Arial"/>
          <w:sz w:val="20"/>
          <w:szCs w:val="20"/>
        </w:rPr>
        <w:t xml:space="preserve"> 90 (May 2000).</w:t>
      </w:r>
    </w:p>
    <w:p w:rsidR="00AB1CCD" w:rsidRPr="0059476B" w:rsidRDefault="00AB1CCD" w:rsidP="00AB1CCD">
      <w:pPr>
        <w:spacing w:after="120"/>
        <w:ind w:left="1440" w:hanging="720"/>
        <w:rPr>
          <w:rFonts w:ascii="Arial" w:eastAsia="Gulim" w:hAnsi="Arial" w:cs="Arial"/>
          <w:sz w:val="20"/>
          <w:szCs w:val="20"/>
        </w:rPr>
      </w:pPr>
      <w:r w:rsidRPr="0059476B">
        <w:rPr>
          <w:rFonts w:ascii="Arial" w:eastAsia="Gulim" w:hAnsi="Arial" w:cs="Arial"/>
          <w:sz w:val="20"/>
          <w:szCs w:val="20"/>
        </w:rPr>
        <w:t xml:space="preserve">R.G. Hubbard and A.R. O’Brien, </w:t>
      </w:r>
      <w:r w:rsidRPr="0059476B">
        <w:rPr>
          <w:rFonts w:ascii="Arial" w:eastAsia="Gulim" w:hAnsi="Arial" w:cs="Arial"/>
          <w:i/>
          <w:iCs/>
          <w:sz w:val="20"/>
          <w:szCs w:val="20"/>
        </w:rPr>
        <w:t xml:space="preserve">Money, Banking, and the Financial System, </w:t>
      </w:r>
      <w:r w:rsidRPr="0059476B">
        <w:rPr>
          <w:rFonts w:ascii="Arial" w:eastAsia="Gulim" w:hAnsi="Arial" w:cs="Arial"/>
          <w:iCs/>
          <w:sz w:val="20"/>
          <w:szCs w:val="20"/>
        </w:rPr>
        <w:t>Pearson 2011,</w:t>
      </w:r>
      <w:r w:rsidRPr="0059476B">
        <w:rPr>
          <w:rFonts w:ascii="Arial" w:eastAsia="Gulim" w:hAnsi="Arial" w:cs="Arial"/>
          <w:i/>
          <w:iCs/>
          <w:sz w:val="20"/>
          <w:szCs w:val="20"/>
        </w:rPr>
        <w:t xml:space="preserve"> </w:t>
      </w:r>
      <w:r w:rsidRPr="0059476B">
        <w:rPr>
          <w:rFonts w:ascii="Arial" w:eastAsia="Gulim" w:hAnsi="Arial" w:cs="Arial"/>
          <w:sz w:val="20"/>
          <w:szCs w:val="20"/>
        </w:rPr>
        <w:t>Chapters 6, 9.</w:t>
      </w:r>
    </w:p>
    <w:p w:rsidR="00AB1CCD" w:rsidRPr="0059476B" w:rsidRDefault="00AB1CCD" w:rsidP="00AB1CCD">
      <w:pPr>
        <w:spacing w:after="120"/>
        <w:ind w:left="1440" w:hanging="720"/>
        <w:rPr>
          <w:rFonts w:ascii="Arial" w:eastAsia="Gulim" w:hAnsi="Arial" w:cs="Arial"/>
          <w:sz w:val="20"/>
          <w:szCs w:val="20"/>
        </w:rPr>
      </w:pPr>
      <w:r w:rsidRPr="0059476B">
        <w:rPr>
          <w:rFonts w:ascii="Arial" w:eastAsia="Gulim" w:hAnsi="Arial" w:cs="Arial"/>
          <w:sz w:val="20"/>
          <w:szCs w:val="20"/>
        </w:rPr>
        <w:t xml:space="preserve">P. </w:t>
      </w:r>
      <w:proofErr w:type="spellStart"/>
      <w:r w:rsidRPr="0059476B">
        <w:rPr>
          <w:rFonts w:ascii="Arial" w:eastAsia="Gulim" w:hAnsi="Arial" w:cs="Arial"/>
          <w:sz w:val="20"/>
          <w:szCs w:val="20"/>
        </w:rPr>
        <w:t>Milgrom</w:t>
      </w:r>
      <w:proofErr w:type="spellEnd"/>
      <w:r w:rsidRPr="0059476B">
        <w:rPr>
          <w:rFonts w:ascii="Arial" w:eastAsia="Gulim" w:hAnsi="Arial" w:cs="Arial"/>
          <w:sz w:val="20"/>
          <w:szCs w:val="20"/>
        </w:rPr>
        <w:t xml:space="preserve"> and J. Roberts, </w:t>
      </w:r>
      <w:r w:rsidRPr="0059476B">
        <w:rPr>
          <w:rFonts w:ascii="Arial" w:eastAsia="Gulim" w:hAnsi="Arial" w:cs="Arial"/>
          <w:i/>
          <w:iCs/>
          <w:sz w:val="20"/>
          <w:szCs w:val="20"/>
        </w:rPr>
        <w:t>Economics, Organization, and Management,</w:t>
      </w:r>
      <w:r w:rsidRPr="0059476B">
        <w:rPr>
          <w:rFonts w:ascii="Arial" w:eastAsia="Gulim" w:hAnsi="Arial" w:cs="Arial"/>
          <w:sz w:val="20"/>
          <w:szCs w:val="20"/>
        </w:rPr>
        <w:t xml:space="preserve"> Prentice Hall, 1992, Chapters 1 and 2.</w:t>
      </w:r>
    </w:p>
    <w:p w:rsidR="00AB1CCD" w:rsidRPr="0059476B" w:rsidRDefault="00AB1CCD" w:rsidP="00AB1CCD">
      <w:pPr>
        <w:ind w:left="1440" w:hanging="720"/>
        <w:rPr>
          <w:rFonts w:ascii="Arial" w:eastAsia="Gulim" w:hAnsi="Arial" w:cs="Arial"/>
          <w:sz w:val="20"/>
          <w:szCs w:val="20"/>
        </w:rPr>
      </w:pPr>
    </w:p>
    <w:p w:rsidR="00AB1CCD" w:rsidRPr="0059476B" w:rsidRDefault="00AB1CCD" w:rsidP="00AB1CCD">
      <w:pPr>
        <w:pStyle w:val="Level1"/>
        <w:numPr>
          <w:ilvl w:val="0"/>
          <w:numId w:val="0"/>
        </w:numPr>
        <w:tabs>
          <w:tab w:val="left" w:pos="-1440"/>
        </w:tabs>
        <w:spacing w:before="240" w:after="120"/>
        <w:ind w:left="720" w:hanging="720"/>
        <w:outlineLvl w:val="9"/>
        <w:rPr>
          <w:rFonts w:ascii="Arial" w:eastAsia="Gulim" w:hAnsi="Arial" w:cs="Arial"/>
          <w:b/>
          <w:sz w:val="20"/>
          <w:szCs w:val="20"/>
        </w:rPr>
      </w:pPr>
      <w:r w:rsidRPr="0059476B">
        <w:rPr>
          <w:rFonts w:ascii="Arial" w:eastAsia="Gulim" w:hAnsi="Arial" w:cs="Arial"/>
          <w:b/>
          <w:sz w:val="20"/>
          <w:szCs w:val="20"/>
        </w:rPr>
        <w:t>II.</w:t>
      </w:r>
      <w:r w:rsidRPr="0059476B">
        <w:rPr>
          <w:rFonts w:ascii="Arial" w:eastAsia="Gulim" w:hAnsi="Arial" w:cs="Arial"/>
          <w:b/>
          <w:sz w:val="20"/>
          <w:szCs w:val="20"/>
        </w:rPr>
        <w:tab/>
        <w:t>IDENTIFYING AND VALUING ENTREPRENEURIAL OPPORTUNITY</w:t>
      </w:r>
    </w:p>
    <w:p w:rsidR="00AB1CCD" w:rsidRPr="0059476B" w:rsidRDefault="00AB1CCD" w:rsidP="00AB1CCD">
      <w:pPr>
        <w:tabs>
          <w:tab w:val="left" w:pos="-1440"/>
        </w:tabs>
        <w:spacing w:after="120"/>
        <w:ind w:left="1440" w:hanging="720"/>
        <w:rPr>
          <w:rFonts w:ascii="Arial" w:eastAsia="Gulim" w:hAnsi="Arial" w:cs="Arial"/>
          <w:sz w:val="20"/>
          <w:szCs w:val="20"/>
        </w:rPr>
      </w:pPr>
      <w:r w:rsidRPr="0059476B">
        <w:rPr>
          <w:rFonts w:ascii="Arial" w:eastAsia="Gulim" w:hAnsi="Arial" w:cs="Arial"/>
          <w:b/>
          <w:bCs/>
          <w:sz w:val="20"/>
          <w:szCs w:val="20"/>
        </w:rPr>
        <w:t>A.</w:t>
      </w:r>
      <w:r w:rsidRPr="0059476B">
        <w:rPr>
          <w:rFonts w:ascii="Arial" w:eastAsia="Gulim" w:hAnsi="Arial" w:cs="Arial"/>
          <w:b/>
          <w:bCs/>
          <w:sz w:val="20"/>
          <w:szCs w:val="20"/>
        </w:rPr>
        <w:tab/>
        <w:t>Identifying Opportunity</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J. Bankman and R. Gilson, “Why Start-Ups?”  </w:t>
      </w:r>
      <w:r w:rsidRPr="0059476B">
        <w:rPr>
          <w:rFonts w:ascii="Arial" w:eastAsia="Gulim" w:hAnsi="Arial" w:cs="Arial"/>
          <w:i/>
          <w:iCs/>
          <w:sz w:val="20"/>
          <w:szCs w:val="20"/>
        </w:rPr>
        <w:t>Stanford Law Review</w:t>
      </w:r>
      <w:r w:rsidRPr="0059476B">
        <w:rPr>
          <w:rFonts w:ascii="Arial" w:eastAsia="Gulim" w:hAnsi="Arial" w:cs="Arial"/>
          <w:sz w:val="20"/>
          <w:szCs w:val="20"/>
        </w:rPr>
        <w:t xml:space="preserve"> 51 (January 1999): 289-308.</w:t>
      </w:r>
    </w:p>
    <w:p w:rsidR="00AB1CCD" w:rsidRPr="0059476B" w:rsidRDefault="00AB1CCD" w:rsidP="00AB1CCD">
      <w:pPr>
        <w:spacing w:after="120"/>
        <w:ind w:firstLine="1440"/>
        <w:rPr>
          <w:rFonts w:ascii="Arial" w:eastAsia="Gulim" w:hAnsi="Arial" w:cs="Arial"/>
          <w:sz w:val="20"/>
          <w:szCs w:val="20"/>
        </w:rPr>
      </w:pPr>
      <w:r w:rsidRPr="0059476B">
        <w:rPr>
          <w:rFonts w:ascii="Arial" w:eastAsia="Gulim" w:hAnsi="Arial" w:cs="Arial"/>
          <w:sz w:val="20"/>
          <w:szCs w:val="20"/>
        </w:rPr>
        <w:t xml:space="preserve">Kinder, Gary. </w:t>
      </w:r>
      <w:r w:rsidRPr="0059476B">
        <w:rPr>
          <w:rFonts w:ascii="Arial" w:eastAsia="Gulim" w:hAnsi="Arial" w:cs="Arial"/>
          <w:i/>
          <w:iCs/>
          <w:sz w:val="20"/>
          <w:szCs w:val="20"/>
        </w:rPr>
        <w:t>Ship of Gold</w:t>
      </w:r>
      <w:r w:rsidRPr="0059476B">
        <w:rPr>
          <w:rFonts w:ascii="Arial" w:eastAsia="Gulim" w:hAnsi="Arial" w:cs="Arial"/>
          <w:sz w:val="20"/>
          <w:szCs w:val="20"/>
        </w:rPr>
        <w:t>. New York: Vintage Books, 1998.</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OECD, </w:t>
      </w:r>
      <w:proofErr w:type="gramStart"/>
      <w:r w:rsidRPr="0059476B">
        <w:rPr>
          <w:rFonts w:ascii="Arial" w:eastAsia="Gulim" w:hAnsi="Arial" w:cs="Arial"/>
          <w:i/>
          <w:iCs/>
          <w:sz w:val="20"/>
          <w:szCs w:val="20"/>
        </w:rPr>
        <w:t>The</w:t>
      </w:r>
      <w:proofErr w:type="gramEnd"/>
      <w:r w:rsidRPr="0059476B">
        <w:rPr>
          <w:rFonts w:ascii="Arial" w:eastAsia="Gulim" w:hAnsi="Arial" w:cs="Arial"/>
          <w:i/>
          <w:iCs/>
          <w:sz w:val="20"/>
          <w:szCs w:val="20"/>
        </w:rPr>
        <w:t xml:space="preserve"> Economic and Social Impact of Electronic Commerce</w:t>
      </w:r>
      <w:r w:rsidRPr="0059476B">
        <w:rPr>
          <w:rFonts w:ascii="Arial" w:eastAsia="Gulim" w:hAnsi="Arial" w:cs="Arial"/>
          <w:sz w:val="20"/>
          <w:szCs w:val="20"/>
        </w:rPr>
        <w:t>, Paris: OECD, 1999, Chapter 3.</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H.H. Stevenson and W.A. </w:t>
      </w:r>
      <w:proofErr w:type="spellStart"/>
      <w:r w:rsidRPr="0059476B">
        <w:rPr>
          <w:rFonts w:ascii="Arial" w:eastAsia="Gulim" w:hAnsi="Arial" w:cs="Arial"/>
          <w:sz w:val="20"/>
          <w:szCs w:val="20"/>
        </w:rPr>
        <w:t>Sahlman</w:t>
      </w:r>
      <w:proofErr w:type="spellEnd"/>
      <w:r w:rsidRPr="0059476B">
        <w:rPr>
          <w:rFonts w:ascii="Arial" w:eastAsia="Gulim" w:hAnsi="Arial" w:cs="Arial"/>
          <w:sz w:val="20"/>
          <w:szCs w:val="20"/>
        </w:rPr>
        <w:t xml:space="preserve">. “The Importance of Entrepreneurship,” in R.D. </w:t>
      </w:r>
      <w:proofErr w:type="spellStart"/>
      <w:r w:rsidRPr="0059476B">
        <w:rPr>
          <w:rFonts w:ascii="Arial" w:eastAsia="Gulim" w:hAnsi="Arial" w:cs="Arial"/>
          <w:sz w:val="20"/>
          <w:szCs w:val="20"/>
        </w:rPr>
        <w:t>Hisrich</w:t>
      </w:r>
      <w:proofErr w:type="spellEnd"/>
      <w:r w:rsidRPr="0059476B">
        <w:rPr>
          <w:rFonts w:ascii="Arial" w:eastAsia="Gulim" w:hAnsi="Arial" w:cs="Arial"/>
          <w:sz w:val="20"/>
          <w:szCs w:val="20"/>
        </w:rPr>
        <w:t xml:space="preserve">, ed., </w:t>
      </w:r>
      <w:r w:rsidRPr="0059476B">
        <w:rPr>
          <w:rFonts w:ascii="Arial" w:eastAsia="Gulim" w:hAnsi="Arial" w:cs="Arial"/>
          <w:i/>
          <w:iCs/>
          <w:sz w:val="20"/>
          <w:szCs w:val="20"/>
        </w:rPr>
        <w:t xml:space="preserve">Entrepreneurship, </w:t>
      </w:r>
      <w:proofErr w:type="spellStart"/>
      <w:r w:rsidRPr="0059476B">
        <w:rPr>
          <w:rFonts w:ascii="Arial" w:eastAsia="Gulim" w:hAnsi="Arial" w:cs="Arial"/>
          <w:i/>
          <w:iCs/>
          <w:sz w:val="20"/>
          <w:szCs w:val="20"/>
        </w:rPr>
        <w:t>Intrapreneurship</w:t>
      </w:r>
      <w:proofErr w:type="spellEnd"/>
      <w:r w:rsidRPr="0059476B">
        <w:rPr>
          <w:rFonts w:ascii="Arial" w:eastAsia="Gulim" w:hAnsi="Arial" w:cs="Arial"/>
          <w:i/>
          <w:iCs/>
          <w:sz w:val="20"/>
          <w:szCs w:val="20"/>
        </w:rPr>
        <w:t>, and Venture Capital</w:t>
      </w:r>
      <w:r w:rsidRPr="0059476B">
        <w:rPr>
          <w:rFonts w:ascii="Arial" w:eastAsia="Gulim" w:hAnsi="Arial" w:cs="Arial"/>
          <w:sz w:val="20"/>
          <w:szCs w:val="20"/>
        </w:rPr>
        <w:t>, Lexington: Lexington Books, 1986.</w:t>
      </w:r>
    </w:p>
    <w:p w:rsidR="00AB1CCD" w:rsidRPr="0059476B" w:rsidRDefault="00AB1CCD" w:rsidP="00AB1CCD">
      <w:pPr>
        <w:rPr>
          <w:rFonts w:ascii="Arial" w:eastAsia="Gulim" w:hAnsi="Arial" w:cs="Arial"/>
          <w:sz w:val="16"/>
          <w:szCs w:val="16"/>
        </w:rPr>
      </w:pPr>
    </w:p>
    <w:p w:rsidR="00AB1CCD" w:rsidRPr="0059476B" w:rsidRDefault="00AB1CCD" w:rsidP="00AB1CCD">
      <w:pPr>
        <w:pStyle w:val="Level2"/>
        <w:tabs>
          <w:tab w:val="left" w:pos="-1440"/>
          <w:tab w:val="num" w:pos="1440"/>
        </w:tabs>
        <w:spacing w:after="120"/>
        <w:rPr>
          <w:rFonts w:ascii="Arial" w:eastAsia="Gulim" w:hAnsi="Arial" w:cs="Arial"/>
          <w:b/>
          <w:sz w:val="20"/>
          <w:szCs w:val="20"/>
        </w:rPr>
      </w:pPr>
      <w:r w:rsidRPr="0059476B">
        <w:rPr>
          <w:rFonts w:ascii="Arial" w:eastAsia="Gulim" w:hAnsi="Arial" w:cs="Arial"/>
          <w:b/>
          <w:sz w:val="20"/>
          <w:szCs w:val="20"/>
        </w:rPr>
        <w:t>Valuing Opportunity</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R. </w:t>
      </w:r>
      <w:proofErr w:type="spellStart"/>
      <w:r w:rsidRPr="0059476B">
        <w:rPr>
          <w:rFonts w:ascii="Arial" w:eastAsia="Gulim" w:hAnsi="Arial" w:cs="Arial"/>
          <w:sz w:val="20"/>
          <w:szCs w:val="20"/>
        </w:rPr>
        <w:t>Brealey</w:t>
      </w:r>
      <w:proofErr w:type="spellEnd"/>
      <w:r w:rsidRPr="0059476B">
        <w:rPr>
          <w:rFonts w:ascii="Arial" w:eastAsia="Gulim" w:hAnsi="Arial" w:cs="Arial"/>
          <w:sz w:val="20"/>
          <w:szCs w:val="20"/>
        </w:rPr>
        <w:t xml:space="preserve">, S. Myers, and F. Allen, </w:t>
      </w:r>
      <w:r w:rsidRPr="0059476B">
        <w:rPr>
          <w:rFonts w:ascii="Arial" w:eastAsia="Gulim" w:hAnsi="Arial" w:cs="Arial"/>
          <w:i/>
          <w:iCs/>
          <w:sz w:val="20"/>
          <w:szCs w:val="20"/>
        </w:rPr>
        <w:t>Principles of Corporate Finance</w:t>
      </w:r>
      <w:r w:rsidRPr="0059476B">
        <w:rPr>
          <w:rFonts w:ascii="Arial" w:eastAsia="Gulim" w:hAnsi="Arial" w:cs="Arial"/>
          <w:sz w:val="20"/>
          <w:szCs w:val="20"/>
        </w:rPr>
        <w:t>, 10th ed., New York: McGraw-Hill, 2011.</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T. Copeland, T. </w:t>
      </w:r>
      <w:proofErr w:type="spellStart"/>
      <w:r w:rsidRPr="0059476B">
        <w:rPr>
          <w:rFonts w:ascii="Arial" w:eastAsia="Gulim" w:hAnsi="Arial" w:cs="Arial"/>
          <w:sz w:val="20"/>
          <w:szCs w:val="20"/>
        </w:rPr>
        <w:t>Koller</w:t>
      </w:r>
      <w:proofErr w:type="spellEnd"/>
      <w:r w:rsidRPr="0059476B">
        <w:rPr>
          <w:rFonts w:ascii="Arial" w:eastAsia="Gulim" w:hAnsi="Arial" w:cs="Arial"/>
          <w:sz w:val="20"/>
          <w:szCs w:val="20"/>
        </w:rPr>
        <w:t xml:space="preserve">, and J. Murrin, </w:t>
      </w:r>
      <w:r w:rsidRPr="0059476B">
        <w:rPr>
          <w:rFonts w:ascii="Arial" w:eastAsia="Gulim" w:hAnsi="Arial" w:cs="Arial"/>
          <w:i/>
          <w:iCs/>
          <w:sz w:val="20"/>
          <w:szCs w:val="20"/>
        </w:rPr>
        <w:t>Valuation: Measuring and Managing the Value of Companies</w:t>
      </w:r>
      <w:r w:rsidRPr="0059476B">
        <w:rPr>
          <w:rFonts w:ascii="Arial" w:eastAsia="Gulim" w:hAnsi="Arial" w:cs="Arial"/>
          <w:sz w:val="20"/>
          <w:szCs w:val="20"/>
        </w:rPr>
        <w:t>, 5th ed., New York: Wiley, 2010.</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A.K. Dixit and R.S. </w:t>
      </w:r>
      <w:proofErr w:type="spellStart"/>
      <w:r w:rsidRPr="0059476B">
        <w:rPr>
          <w:rFonts w:ascii="Arial" w:eastAsia="Gulim" w:hAnsi="Arial" w:cs="Arial"/>
          <w:sz w:val="20"/>
          <w:szCs w:val="20"/>
        </w:rPr>
        <w:t>Pindyck</w:t>
      </w:r>
      <w:proofErr w:type="spellEnd"/>
      <w:r w:rsidRPr="0059476B">
        <w:rPr>
          <w:rFonts w:ascii="Arial" w:eastAsia="Gulim" w:hAnsi="Arial" w:cs="Arial"/>
          <w:sz w:val="20"/>
          <w:szCs w:val="20"/>
        </w:rPr>
        <w:t xml:space="preserve">, “The Options Approach to Capital Investment,” </w:t>
      </w:r>
      <w:r w:rsidRPr="0059476B">
        <w:rPr>
          <w:rFonts w:ascii="Arial" w:eastAsia="Gulim" w:hAnsi="Arial" w:cs="Arial"/>
          <w:i/>
          <w:iCs/>
          <w:sz w:val="20"/>
          <w:szCs w:val="20"/>
        </w:rPr>
        <w:t>Harvard Business Review</w:t>
      </w:r>
      <w:r w:rsidRPr="0059476B">
        <w:rPr>
          <w:rFonts w:ascii="Arial" w:eastAsia="Gulim" w:hAnsi="Arial" w:cs="Arial"/>
          <w:sz w:val="20"/>
          <w:szCs w:val="20"/>
        </w:rPr>
        <w:t xml:space="preserve"> (May-June 1995).</w:t>
      </w:r>
      <w:r w:rsidRPr="0059476B">
        <w:rPr>
          <w:rFonts w:ascii="Arial" w:eastAsia="Gulim" w:hAnsi="Arial" w:cs="Arial"/>
          <w:sz w:val="20"/>
          <w:szCs w:val="20"/>
        </w:rPr>
        <w:tab/>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M. Gertler and R.G. Hubbard, “Taxation, Corporate Capital Structure, and Financial Distress,” in L.H. Summers, ed., </w:t>
      </w:r>
      <w:r w:rsidRPr="0059476B">
        <w:rPr>
          <w:rFonts w:ascii="Arial" w:eastAsia="Gulim" w:hAnsi="Arial" w:cs="Arial"/>
          <w:i/>
          <w:iCs/>
          <w:sz w:val="20"/>
          <w:szCs w:val="20"/>
        </w:rPr>
        <w:t>Tax Policy and the Economy</w:t>
      </w:r>
      <w:r w:rsidRPr="0059476B">
        <w:rPr>
          <w:rFonts w:ascii="Arial" w:eastAsia="Gulim" w:hAnsi="Arial" w:cs="Arial"/>
          <w:sz w:val="20"/>
          <w:szCs w:val="20"/>
        </w:rPr>
        <w:t>, vol. 4, Cambridge: MIT Press, 1990.</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R.G. Hubbard, “Investment </w:t>
      </w:r>
      <w:proofErr w:type="gramStart"/>
      <w:r w:rsidRPr="0059476B">
        <w:rPr>
          <w:rFonts w:ascii="Arial" w:eastAsia="Gulim" w:hAnsi="Arial" w:cs="Arial"/>
          <w:sz w:val="20"/>
          <w:szCs w:val="20"/>
        </w:rPr>
        <w:t>Under</w:t>
      </w:r>
      <w:proofErr w:type="gramEnd"/>
      <w:r w:rsidRPr="0059476B">
        <w:rPr>
          <w:rFonts w:ascii="Arial" w:eastAsia="Gulim" w:hAnsi="Arial" w:cs="Arial"/>
          <w:sz w:val="20"/>
          <w:szCs w:val="20"/>
        </w:rPr>
        <w:t xml:space="preserve"> Uncertainty: Keeping One’s Options Open,” </w:t>
      </w:r>
      <w:r w:rsidRPr="0059476B">
        <w:rPr>
          <w:rFonts w:ascii="Arial" w:eastAsia="Gulim" w:hAnsi="Arial" w:cs="Arial"/>
          <w:i/>
          <w:iCs/>
          <w:sz w:val="20"/>
          <w:szCs w:val="20"/>
        </w:rPr>
        <w:t>Journal of Economic Literature</w:t>
      </w:r>
      <w:r w:rsidRPr="0059476B">
        <w:rPr>
          <w:rFonts w:ascii="Arial" w:eastAsia="Gulim" w:hAnsi="Arial" w:cs="Arial"/>
          <w:sz w:val="20"/>
          <w:szCs w:val="20"/>
        </w:rPr>
        <w:t xml:space="preserve"> 32 (December 1994): 1816-1831.</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S.N. Kaplan and R.S. </w:t>
      </w:r>
      <w:proofErr w:type="spellStart"/>
      <w:r w:rsidRPr="0059476B">
        <w:rPr>
          <w:rFonts w:ascii="Arial" w:eastAsia="Gulim" w:hAnsi="Arial" w:cs="Arial"/>
          <w:sz w:val="20"/>
          <w:szCs w:val="20"/>
        </w:rPr>
        <w:t>Ruback</w:t>
      </w:r>
      <w:proofErr w:type="spellEnd"/>
      <w:r w:rsidRPr="0059476B">
        <w:rPr>
          <w:rFonts w:ascii="Arial" w:eastAsia="Gulim" w:hAnsi="Arial" w:cs="Arial"/>
          <w:sz w:val="20"/>
          <w:szCs w:val="20"/>
        </w:rPr>
        <w:t xml:space="preserve">, “The Valuation of Cash Flow Forecasts:  An Empirical Analysis,” </w:t>
      </w:r>
      <w:r w:rsidRPr="0059476B">
        <w:rPr>
          <w:rFonts w:ascii="Arial" w:eastAsia="Gulim" w:hAnsi="Arial" w:cs="Arial"/>
          <w:i/>
          <w:iCs/>
          <w:sz w:val="20"/>
          <w:szCs w:val="20"/>
        </w:rPr>
        <w:t>Journal of Finance</w:t>
      </w:r>
      <w:r w:rsidRPr="0059476B">
        <w:rPr>
          <w:rFonts w:ascii="Arial" w:eastAsia="Gulim" w:hAnsi="Arial" w:cs="Arial"/>
          <w:sz w:val="20"/>
          <w:szCs w:val="20"/>
        </w:rPr>
        <w:t xml:space="preserve"> 50 (September 1995): 1059-1093.</w:t>
      </w:r>
    </w:p>
    <w:p w:rsidR="00AB1CCD" w:rsidRPr="0059476B" w:rsidRDefault="00AB1CCD" w:rsidP="00AB1CCD">
      <w:pPr>
        <w:spacing w:after="120"/>
        <w:ind w:left="720" w:firstLine="720"/>
        <w:rPr>
          <w:rFonts w:ascii="Arial" w:eastAsia="Gulim" w:hAnsi="Arial" w:cs="Arial"/>
          <w:sz w:val="20"/>
          <w:szCs w:val="20"/>
        </w:rPr>
      </w:pPr>
      <w:r w:rsidRPr="0059476B">
        <w:rPr>
          <w:rFonts w:ascii="Arial" w:eastAsia="Gulim" w:hAnsi="Arial" w:cs="Arial"/>
          <w:sz w:val="20"/>
          <w:szCs w:val="20"/>
        </w:rPr>
        <w:t xml:space="preserve">T.A. </w:t>
      </w:r>
      <w:proofErr w:type="spellStart"/>
      <w:r w:rsidRPr="0059476B">
        <w:rPr>
          <w:rFonts w:ascii="Arial" w:eastAsia="Gulim" w:hAnsi="Arial" w:cs="Arial"/>
          <w:sz w:val="20"/>
          <w:szCs w:val="20"/>
        </w:rPr>
        <w:t>Luehrman</w:t>
      </w:r>
      <w:proofErr w:type="spellEnd"/>
      <w:r w:rsidRPr="0059476B">
        <w:rPr>
          <w:rFonts w:ascii="Arial" w:eastAsia="Gulim" w:hAnsi="Arial" w:cs="Arial"/>
          <w:sz w:val="20"/>
          <w:szCs w:val="20"/>
        </w:rPr>
        <w:t>, “What’s It Worth</w:t>
      </w:r>
      <w:proofErr w:type="gramStart"/>
      <w:r w:rsidRPr="0059476B">
        <w:rPr>
          <w:rFonts w:ascii="Arial" w:eastAsia="Gulim" w:hAnsi="Arial" w:cs="Arial"/>
          <w:sz w:val="20"/>
          <w:szCs w:val="20"/>
        </w:rPr>
        <w:t>?,</w:t>
      </w:r>
      <w:proofErr w:type="gramEnd"/>
      <w:r w:rsidRPr="0059476B">
        <w:rPr>
          <w:rFonts w:ascii="Arial" w:eastAsia="Gulim" w:hAnsi="Arial" w:cs="Arial"/>
          <w:sz w:val="20"/>
          <w:szCs w:val="20"/>
        </w:rPr>
        <w:t xml:space="preserve">” </w:t>
      </w:r>
      <w:r w:rsidRPr="0059476B">
        <w:rPr>
          <w:rFonts w:ascii="Arial" w:eastAsia="Gulim" w:hAnsi="Arial" w:cs="Arial"/>
          <w:i/>
          <w:iCs/>
          <w:sz w:val="20"/>
          <w:szCs w:val="20"/>
        </w:rPr>
        <w:t>Harvard Business Review</w:t>
      </w:r>
      <w:r w:rsidRPr="0059476B">
        <w:rPr>
          <w:rFonts w:ascii="Arial" w:eastAsia="Gulim" w:hAnsi="Arial" w:cs="Arial"/>
          <w:sz w:val="20"/>
          <w:szCs w:val="20"/>
        </w:rPr>
        <w:t xml:space="preserve"> (May-June 1997).</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L. Nakamura, “Intangibles: What Put the </w:t>
      </w:r>
      <w:r w:rsidRPr="0059476B">
        <w:rPr>
          <w:rFonts w:ascii="Arial" w:eastAsia="Gulim" w:hAnsi="Arial" w:cs="Arial"/>
          <w:i/>
          <w:iCs/>
          <w:sz w:val="20"/>
          <w:szCs w:val="20"/>
        </w:rPr>
        <w:t>New</w:t>
      </w:r>
      <w:r w:rsidRPr="0059476B">
        <w:rPr>
          <w:rFonts w:ascii="Arial" w:eastAsia="Gulim" w:hAnsi="Arial" w:cs="Arial"/>
          <w:sz w:val="20"/>
          <w:szCs w:val="20"/>
        </w:rPr>
        <w:t xml:space="preserve"> in the New Economy</w:t>
      </w:r>
      <w:proofErr w:type="gramStart"/>
      <w:r w:rsidRPr="0059476B">
        <w:rPr>
          <w:rFonts w:ascii="Arial" w:eastAsia="Gulim" w:hAnsi="Arial" w:cs="Arial"/>
          <w:sz w:val="20"/>
          <w:szCs w:val="20"/>
        </w:rPr>
        <w:t>?,</w:t>
      </w:r>
      <w:proofErr w:type="gramEnd"/>
      <w:r w:rsidRPr="0059476B">
        <w:rPr>
          <w:rFonts w:ascii="Arial" w:eastAsia="Gulim" w:hAnsi="Arial" w:cs="Arial"/>
          <w:sz w:val="20"/>
          <w:szCs w:val="20"/>
        </w:rPr>
        <w:t xml:space="preserve">” Federal Reserve Bank of Philadelphia </w:t>
      </w:r>
      <w:r w:rsidRPr="0059476B">
        <w:rPr>
          <w:rFonts w:ascii="Arial" w:eastAsia="Gulim" w:hAnsi="Arial" w:cs="Arial"/>
          <w:i/>
          <w:iCs/>
          <w:sz w:val="20"/>
          <w:szCs w:val="20"/>
        </w:rPr>
        <w:t>Business Review</w:t>
      </w:r>
      <w:r w:rsidRPr="0059476B">
        <w:rPr>
          <w:rFonts w:ascii="Arial" w:eastAsia="Gulim" w:hAnsi="Arial" w:cs="Arial"/>
          <w:sz w:val="20"/>
          <w:szCs w:val="20"/>
        </w:rPr>
        <w:t xml:space="preserve"> (July/August 1999): 3-16.</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M. Scholes and M. Wolfson, </w:t>
      </w:r>
      <w:r w:rsidRPr="0059476B">
        <w:rPr>
          <w:rFonts w:ascii="Arial" w:eastAsia="Gulim" w:hAnsi="Arial" w:cs="Arial"/>
          <w:i/>
          <w:iCs/>
          <w:sz w:val="20"/>
          <w:szCs w:val="20"/>
        </w:rPr>
        <w:t>Taxes and Business Strategy</w:t>
      </w:r>
      <w:r w:rsidRPr="0059476B">
        <w:rPr>
          <w:rFonts w:ascii="Arial" w:eastAsia="Gulim" w:hAnsi="Arial" w:cs="Arial"/>
          <w:sz w:val="20"/>
          <w:szCs w:val="20"/>
        </w:rPr>
        <w:t>, Englewood Cliffs, N.J.: Prentice Hall, 1992.</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A.C. Shapiro, “Corporate Strategy and the Capital Budgeting Decision,” in D. Chew, </w:t>
      </w:r>
      <w:r w:rsidRPr="0059476B">
        <w:rPr>
          <w:rFonts w:ascii="Arial" w:eastAsia="Gulim" w:hAnsi="Arial" w:cs="Arial"/>
          <w:i/>
          <w:iCs/>
          <w:sz w:val="20"/>
          <w:szCs w:val="20"/>
        </w:rPr>
        <w:t>op. cit.</w:t>
      </w:r>
    </w:p>
    <w:p w:rsidR="00AB1CCD" w:rsidRPr="0059476B" w:rsidRDefault="00AB1CCD" w:rsidP="00AB1CCD">
      <w:pPr>
        <w:spacing w:after="120"/>
        <w:ind w:left="2160" w:hanging="720"/>
        <w:rPr>
          <w:rFonts w:ascii="Arial" w:eastAsia="Gulim" w:hAnsi="Arial" w:cs="Arial"/>
          <w:sz w:val="20"/>
          <w:szCs w:val="20"/>
        </w:rPr>
      </w:pPr>
      <w:r w:rsidRPr="0059476B">
        <w:rPr>
          <w:rFonts w:ascii="Arial" w:eastAsia="Gulim" w:hAnsi="Arial" w:cs="Arial"/>
          <w:sz w:val="20"/>
          <w:szCs w:val="20"/>
        </w:rPr>
        <w:t xml:space="preserve">S. Titman and R. </w:t>
      </w:r>
      <w:proofErr w:type="spellStart"/>
      <w:r w:rsidRPr="0059476B">
        <w:rPr>
          <w:rFonts w:ascii="Arial" w:eastAsia="Gulim" w:hAnsi="Arial" w:cs="Arial"/>
          <w:sz w:val="20"/>
          <w:szCs w:val="20"/>
        </w:rPr>
        <w:t>Wessels</w:t>
      </w:r>
      <w:proofErr w:type="spellEnd"/>
      <w:r w:rsidRPr="0059476B">
        <w:rPr>
          <w:rFonts w:ascii="Arial" w:eastAsia="Gulim" w:hAnsi="Arial" w:cs="Arial"/>
          <w:sz w:val="20"/>
          <w:szCs w:val="20"/>
        </w:rPr>
        <w:t xml:space="preserve">, “The Determinants of Capital Structure Choice,” </w:t>
      </w:r>
      <w:r w:rsidRPr="0059476B">
        <w:rPr>
          <w:rFonts w:ascii="Arial" w:eastAsia="Gulim" w:hAnsi="Arial" w:cs="Arial"/>
          <w:i/>
          <w:iCs/>
          <w:sz w:val="20"/>
          <w:szCs w:val="20"/>
        </w:rPr>
        <w:t>Journal of Finance</w:t>
      </w:r>
      <w:r w:rsidRPr="0059476B">
        <w:rPr>
          <w:rFonts w:ascii="Arial" w:eastAsia="Gulim" w:hAnsi="Arial" w:cs="Arial"/>
          <w:sz w:val="20"/>
          <w:szCs w:val="20"/>
        </w:rPr>
        <w:t xml:space="preserve"> 43 (1988): 1-19.</w:t>
      </w:r>
    </w:p>
    <w:p w:rsidR="00AB1CCD" w:rsidRPr="0059476B" w:rsidRDefault="00AB1CCD" w:rsidP="00AB1CCD">
      <w:pPr>
        <w:spacing w:after="120"/>
        <w:ind w:firstLine="1440"/>
        <w:rPr>
          <w:rFonts w:ascii="Arial" w:eastAsia="Gulim" w:hAnsi="Arial" w:cs="Arial"/>
          <w:sz w:val="20"/>
          <w:szCs w:val="20"/>
        </w:rPr>
      </w:pPr>
      <w:r w:rsidRPr="0059476B">
        <w:rPr>
          <w:rFonts w:ascii="Arial" w:eastAsia="Gulim" w:hAnsi="Arial" w:cs="Arial"/>
          <w:sz w:val="20"/>
          <w:szCs w:val="20"/>
        </w:rPr>
        <w:t xml:space="preserve">L. </w:t>
      </w:r>
      <w:proofErr w:type="spellStart"/>
      <w:r w:rsidRPr="0059476B">
        <w:rPr>
          <w:rFonts w:ascii="Arial" w:eastAsia="Gulim" w:hAnsi="Arial" w:cs="Arial"/>
          <w:sz w:val="20"/>
          <w:szCs w:val="20"/>
        </w:rPr>
        <w:t>Trigeorgis</w:t>
      </w:r>
      <w:proofErr w:type="spellEnd"/>
      <w:r w:rsidRPr="0059476B">
        <w:rPr>
          <w:rFonts w:ascii="Arial" w:eastAsia="Gulim" w:hAnsi="Arial" w:cs="Arial"/>
          <w:sz w:val="20"/>
          <w:szCs w:val="20"/>
        </w:rPr>
        <w:t xml:space="preserve">, </w:t>
      </w:r>
      <w:r w:rsidRPr="0059476B">
        <w:rPr>
          <w:rFonts w:ascii="Arial" w:eastAsia="Gulim" w:hAnsi="Arial" w:cs="Arial"/>
          <w:i/>
          <w:iCs/>
          <w:sz w:val="20"/>
          <w:szCs w:val="20"/>
        </w:rPr>
        <w:t>Real Options</w:t>
      </w:r>
      <w:r w:rsidRPr="0059476B">
        <w:rPr>
          <w:rFonts w:ascii="Arial" w:eastAsia="Gulim" w:hAnsi="Arial" w:cs="Arial"/>
          <w:sz w:val="20"/>
          <w:szCs w:val="20"/>
        </w:rPr>
        <w:t>, Cambridge: MIT Press, 1996.</w:t>
      </w:r>
    </w:p>
    <w:p w:rsidR="004F2F91" w:rsidRDefault="004F2F91">
      <w:pPr>
        <w:widowControl/>
        <w:autoSpaceDE/>
        <w:autoSpaceDN/>
        <w:adjustRightInd/>
        <w:rPr>
          <w:rFonts w:ascii="Arial" w:eastAsia="Gulim" w:hAnsi="Arial" w:cs="Arial"/>
          <w:b/>
          <w:sz w:val="20"/>
          <w:szCs w:val="20"/>
        </w:rPr>
      </w:pPr>
    </w:p>
    <w:p w:rsidR="00867A99" w:rsidRDefault="00867A99">
      <w:pPr>
        <w:widowControl/>
        <w:autoSpaceDE/>
        <w:autoSpaceDN/>
        <w:adjustRightInd/>
        <w:rPr>
          <w:rFonts w:ascii="Arial" w:eastAsia="Gulim" w:hAnsi="Arial" w:cs="Arial"/>
          <w:b/>
          <w:sz w:val="20"/>
          <w:szCs w:val="20"/>
        </w:rPr>
      </w:pPr>
    </w:p>
    <w:p w:rsidR="00867A99" w:rsidRDefault="00867A99">
      <w:pPr>
        <w:widowControl/>
        <w:autoSpaceDE/>
        <w:autoSpaceDN/>
        <w:adjustRightInd/>
        <w:rPr>
          <w:rFonts w:ascii="Arial" w:eastAsia="Gulim" w:hAnsi="Arial" w:cs="Arial"/>
          <w:b/>
          <w:sz w:val="20"/>
          <w:szCs w:val="20"/>
        </w:rPr>
      </w:pPr>
    </w:p>
    <w:p w:rsidR="004F2F91" w:rsidRPr="004F7755" w:rsidRDefault="004F2F91" w:rsidP="004F7755">
      <w:pPr>
        <w:pStyle w:val="Level1"/>
        <w:numPr>
          <w:ilvl w:val="0"/>
          <w:numId w:val="6"/>
        </w:numPr>
        <w:tabs>
          <w:tab w:val="left" w:pos="720"/>
        </w:tabs>
        <w:rPr>
          <w:rFonts w:ascii="Arial" w:eastAsia="Gulim" w:hAnsi="Arial" w:cs="Arial"/>
          <w:sz w:val="20"/>
          <w:szCs w:val="20"/>
        </w:rPr>
      </w:pPr>
      <w:r w:rsidRPr="004F7755">
        <w:rPr>
          <w:rFonts w:ascii="Arial" w:eastAsia="Gulim" w:hAnsi="Arial" w:cs="Arial"/>
          <w:b/>
          <w:bCs/>
          <w:sz w:val="20"/>
          <w:szCs w:val="20"/>
        </w:rPr>
        <w:t>SOURCES OF FUNDS FOR ENTREPRENEURIAL VENTURES</w:t>
      </w:r>
    </w:p>
    <w:p w:rsidR="004F2F91" w:rsidRPr="0059476B" w:rsidRDefault="004F2F91" w:rsidP="004F2F91">
      <w:pPr>
        <w:rPr>
          <w:rFonts w:ascii="Arial" w:eastAsia="Gulim" w:hAnsi="Arial" w:cs="Arial"/>
          <w:sz w:val="20"/>
          <w:szCs w:val="20"/>
        </w:rPr>
      </w:pP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G. </w:t>
      </w:r>
      <w:proofErr w:type="spellStart"/>
      <w:r w:rsidRPr="0059476B">
        <w:rPr>
          <w:rFonts w:ascii="Arial" w:eastAsia="Gulim" w:hAnsi="Arial" w:cs="Arial"/>
          <w:sz w:val="20"/>
          <w:szCs w:val="20"/>
        </w:rPr>
        <w:t>Akerlof</w:t>
      </w:r>
      <w:proofErr w:type="spellEnd"/>
      <w:r w:rsidRPr="0059476B">
        <w:rPr>
          <w:rFonts w:ascii="Arial" w:eastAsia="Gulim" w:hAnsi="Arial" w:cs="Arial"/>
          <w:sz w:val="20"/>
          <w:szCs w:val="20"/>
        </w:rPr>
        <w:t xml:space="preserve">, “The Market for ‘Lemons’: Qualitative Uncertainty and the Market Mechanism,” </w:t>
      </w:r>
      <w:r w:rsidRPr="0059476B">
        <w:rPr>
          <w:rFonts w:ascii="Arial" w:eastAsia="Gulim" w:hAnsi="Arial" w:cs="Arial"/>
          <w:i/>
          <w:iCs/>
          <w:sz w:val="20"/>
          <w:szCs w:val="20"/>
        </w:rPr>
        <w:t>Quarterly Journal of Economics</w:t>
      </w:r>
      <w:r w:rsidRPr="0059476B">
        <w:rPr>
          <w:rFonts w:ascii="Arial" w:eastAsia="Gulim" w:hAnsi="Arial" w:cs="Arial"/>
          <w:sz w:val="20"/>
          <w:szCs w:val="20"/>
        </w:rPr>
        <w:t xml:space="preserve"> 84 (1970): 488-500.</w:t>
      </w:r>
      <w:r w:rsidRPr="0059476B">
        <w:rPr>
          <w:rFonts w:ascii="Arial" w:eastAsia="Gulim" w:hAnsi="Arial" w:cs="Arial"/>
          <w:sz w:val="20"/>
          <w:szCs w:val="20"/>
        </w:rPr>
        <w:tab/>
      </w:r>
      <w:r w:rsidRPr="0059476B">
        <w:rPr>
          <w:rFonts w:ascii="Arial" w:eastAsia="Gulim" w:hAnsi="Arial" w:cs="Arial"/>
          <w:sz w:val="20"/>
          <w:szCs w:val="20"/>
        </w:rPr>
        <w:tab/>
      </w:r>
      <w:r w:rsidRPr="0059476B">
        <w:rPr>
          <w:rFonts w:ascii="Arial" w:eastAsia="Gulim" w:hAnsi="Arial" w:cs="Arial"/>
          <w:sz w:val="20"/>
          <w:szCs w:val="20"/>
        </w:rPr>
        <w:tab/>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C. Barry, C. </w:t>
      </w:r>
      <w:proofErr w:type="spellStart"/>
      <w:r w:rsidRPr="0059476B">
        <w:rPr>
          <w:rFonts w:ascii="Arial" w:eastAsia="Gulim" w:hAnsi="Arial" w:cs="Arial"/>
          <w:sz w:val="20"/>
          <w:szCs w:val="20"/>
        </w:rPr>
        <w:t>Muscarella</w:t>
      </w:r>
      <w:proofErr w:type="spellEnd"/>
      <w:r w:rsidRPr="0059476B">
        <w:rPr>
          <w:rFonts w:ascii="Arial" w:eastAsia="Gulim" w:hAnsi="Arial" w:cs="Arial"/>
          <w:sz w:val="20"/>
          <w:szCs w:val="20"/>
        </w:rPr>
        <w:t xml:space="preserve">, J. </w:t>
      </w:r>
      <w:proofErr w:type="spellStart"/>
      <w:r w:rsidRPr="0059476B">
        <w:rPr>
          <w:rFonts w:ascii="Arial" w:eastAsia="Gulim" w:hAnsi="Arial" w:cs="Arial"/>
          <w:sz w:val="20"/>
          <w:szCs w:val="20"/>
        </w:rPr>
        <w:t>Peavy</w:t>
      </w:r>
      <w:proofErr w:type="spellEnd"/>
      <w:r w:rsidRPr="0059476B">
        <w:rPr>
          <w:rFonts w:ascii="Arial" w:eastAsia="Gulim" w:hAnsi="Arial" w:cs="Arial"/>
          <w:sz w:val="20"/>
          <w:szCs w:val="20"/>
        </w:rPr>
        <w:t xml:space="preserve">, and M. </w:t>
      </w:r>
      <w:proofErr w:type="spellStart"/>
      <w:r w:rsidRPr="0059476B">
        <w:rPr>
          <w:rFonts w:ascii="Arial" w:eastAsia="Gulim" w:hAnsi="Arial" w:cs="Arial"/>
          <w:sz w:val="20"/>
          <w:szCs w:val="20"/>
        </w:rPr>
        <w:t>Vetsuypens</w:t>
      </w:r>
      <w:proofErr w:type="spellEnd"/>
      <w:r w:rsidRPr="0059476B">
        <w:rPr>
          <w:rFonts w:ascii="Arial" w:eastAsia="Gulim" w:hAnsi="Arial" w:cs="Arial"/>
          <w:sz w:val="20"/>
          <w:szCs w:val="20"/>
        </w:rPr>
        <w:t xml:space="preserve">, “The Role of Venture Capital in the Creation of Public Companies: Evidence </w:t>
      </w:r>
      <w:proofErr w:type="gramStart"/>
      <w:r w:rsidRPr="0059476B">
        <w:rPr>
          <w:rFonts w:ascii="Arial" w:eastAsia="Gulim" w:hAnsi="Arial" w:cs="Arial"/>
          <w:sz w:val="20"/>
          <w:szCs w:val="20"/>
        </w:rPr>
        <w:t>From</w:t>
      </w:r>
      <w:proofErr w:type="gramEnd"/>
      <w:r w:rsidRPr="0059476B">
        <w:rPr>
          <w:rFonts w:ascii="Arial" w:eastAsia="Gulim" w:hAnsi="Arial" w:cs="Arial"/>
          <w:sz w:val="20"/>
          <w:szCs w:val="20"/>
        </w:rPr>
        <w:t xml:space="preserve"> the Going Public Process,” </w:t>
      </w:r>
      <w:r w:rsidRPr="0059476B">
        <w:rPr>
          <w:rFonts w:ascii="Arial" w:eastAsia="Gulim" w:hAnsi="Arial" w:cs="Arial"/>
          <w:i/>
          <w:iCs/>
          <w:sz w:val="20"/>
          <w:szCs w:val="20"/>
        </w:rPr>
        <w:t>Journal of Financial Economics</w:t>
      </w:r>
      <w:r w:rsidRPr="0059476B">
        <w:rPr>
          <w:rFonts w:ascii="Arial" w:eastAsia="Gulim" w:hAnsi="Arial" w:cs="Arial"/>
          <w:sz w:val="20"/>
          <w:szCs w:val="20"/>
        </w:rPr>
        <w:t xml:space="preserve"> 27 (1990): 447-472.</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A. Berger and G. Udell, “Relationship Lending and Lines of Credit in Small Firm Finance,” </w:t>
      </w:r>
      <w:r w:rsidRPr="0059476B">
        <w:rPr>
          <w:rFonts w:ascii="Arial" w:eastAsia="Gulim" w:hAnsi="Arial" w:cs="Arial"/>
          <w:i/>
          <w:iCs/>
          <w:sz w:val="20"/>
          <w:szCs w:val="20"/>
        </w:rPr>
        <w:t>Journal of Business</w:t>
      </w:r>
      <w:r w:rsidRPr="0059476B">
        <w:rPr>
          <w:rFonts w:ascii="Arial" w:eastAsia="Gulim" w:hAnsi="Arial" w:cs="Arial"/>
          <w:sz w:val="20"/>
          <w:szCs w:val="20"/>
        </w:rPr>
        <w:t xml:space="preserve"> 65 (1995): 351-387.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A. Berger and G. Udell, “Universal Banking and the Future of Small Business Lending,” in A. Saunders and I. Walter, ed., </w:t>
      </w:r>
      <w:r w:rsidRPr="0059476B">
        <w:rPr>
          <w:rFonts w:ascii="Arial" w:eastAsia="Gulim" w:hAnsi="Arial" w:cs="Arial"/>
          <w:i/>
          <w:iCs/>
          <w:sz w:val="20"/>
          <w:szCs w:val="20"/>
        </w:rPr>
        <w:t>Financial System Design: The Case for Universal Banking</w:t>
      </w:r>
      <w:r w:rsidRPr="0059476B">
        <w:rPr>
          <w:rFonts w:ascii="Arial" w:eastAsia="Gulim" w:hAnsi="Arial" w:cs="Arial"/>
          <w:sz w:val="20"/>
          <w:szCs w:val="20"/>
        </w:rPr>
        <w:t>, Homewood, IL: Irwin, 1996.</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P. Gompers and J. Lerner, “The Use of Covenants: An Empirical Analysis of Venture Partnership Agreements,” </w:t>
      </w:r>
      <w:r w:rsidRPr="0059476B">
        <w:rPr>
          <w:rFonts w:ascii="Arial" w:eastAsia="Gulim" w:hAnsi="Arial" w:cs="Arial"/>
          <w:i/>
          <w:iCs/>
          <w:sz w:val="20"/>
          <w:szCs w:val="20"/>
        </w:rPr>
        <w:t>Journal of Law and Economics</w:t>
      </w:r>
      <w:r w:rsidRPr="0059476B">
        <w:rPr>
          <w:rFonts w:ascii="Arial" w:eastAsia="Gulim" w:hAnsi="Arial" w:cs="Arial"/>
          <w:sz w:val="20"/>
          <w:szCs w:val="20"/>
        </w:rPr>
        <w:t xml:space="preserve"> 39 (1996): 463-498.</w:t>
      </w:r>
    </w:p>
    <w:p w:rsidR="004F2F91" w:rsidRPr="0059476B" w:rsidRDefault="004F2F91" w:rsidP="004F2F91">
      <w:pPr>
        <w:spacing w:after="120"/>
        <w:ind w:firstLine="720"/>
        <w:rPr>
          <w:rFonts w:ascii="Arial" w:eastAsia="Gulim" w:hAnsi="Arial" w:cs="Arial"/>
          <w:sz w:val="20"/>
          <w:szCs w:val="20"/>
        </w:rPr>
      </w:pPr>
      <w:r w:rsidRPr="0059476B">
        <w:rPr>
          <w:rFonts w:ascii="Arial" w:eastAsia="Gulim" w:hAnsi="Arial" w:cs="Arial"/>
          <w:sz w:val="20"/>
          <w:szCs w:val="20"/>
        </w:rPr>
        <w:t xml:space="preserve">P. Gompers and J. Lerner, </w:t>
      </w:r>
      <w:proofErr w:type="gramStart"/>
      <w:r w:rsidRPr="0059476B">
        <w:rPr>
          <w:rFonts w:ascii="Arial" w:eastAsia="Gulim" w:hAnsi="Arial" w:cs="Arial"/>
          <w:i/>
          <w:iCs/>
          <w:sz w:val="20"/>
          <w:szCs w:val="20"/>
        </w:rPr>
        <w:t>The</w:t>
      </w:r>
      <w:proofErr w:type="gramEnd"/>
      <w:r w:rsidRPr="0059476B">
        <w:rPr>
          <w:rFonts w:ascii="Arial" w:eastAsia="Gulim" w:hAnsi="Arial" w:cs="Arial"/>
          <w:i/>
          <w:iCs/>
          <w:sz w:val="20"/>
          <w:szCs w:val="20"/>
        </w:rPr>
        <w:t xml:space="preserve"> Venture Capital Cycle</w:t>
      </w:r>
      <w:r w:rsidRPr="0059476B">
        <w:rPr>
          <w:rFonts w:ascii="Arial" w:eastAsia="Gulim" w:hAnsi="Arial" w:cs="Arial"/>
          <w:sz w:val="20"/>
          <w:szCs w:val="20"/>
        </w:rPr>
        <w:t>. Cambridge: MIT Press, 1999.</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P. Gompers and J. Lerner, “Venture Capitalists and the Creation of Public Companies,” </w:t>
      </w:r>
      <w:r w:rsidRPr="0059476B">
        <w:rPr>
          <w:rFonts w:ascii="Arial" w:eastAsia="Gulim" w:hAnsi="Arial" w:cs="Arial"/>
          <w:i/>
          <w:iCs/>
          <w:sz w:val="20"/>
          <w:szCs w:val="20"/>
        </w:rPr>
        <w:t>Journal of Private Equity</w:t>
      </w:r>
      <w:r w:rsidRPr="0059476B">
        <w:rPr>
          <w:rFonts w:ascii="Arial" w:eastAsia="Gulim" w:hAnsi="Arial" w:cs="Arial"/>
          <w:sz w:val="20"/>
          <w:szCs w:val="20"/>
        </w:rPr>
        <w:t>, 1997.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M. Gorman and W.A. </w:t>
      </w:r>
      <w:proofErr w:type="spellStart"/>
      <w:r w:rsidRPr="0059476B">
        <w:rPr>
          <w:rFonts w:ascii="Arial" w:eastAsia="Gulim" w:hAnsi="Arial" w:cs="Arial"/>
          <w:sz w:val="20"/>
          <w:szCs w:val="20"/>
        </w:rPr>
        <w:t>Sahlman</w:t>
      </w:r>
      <w:proofErr w:type="spellEnd"/>
      <w:r w:rsidRPr="0059476B">
        <w:rPr>
          <w:rFonts w:ascii="Arial" w:eastAsia="Gulim" w:hAnsi="Arial" w:cs="Arial"/>
          <w:sz w:val="20"/>
          <w:szCs w:val="20"/>
        </w:rPr>
        <w:t>, “What Do Venture Capitalists Do</w:t>
      </w:r>
      <w:proofErr w:type="gramStart"/>
      <w:r w:rsidRPr="0059476B">
        <w:rPr>
          <w:rFonts w:ascii="Arial" w:eastAsia="Gulim" w:hAnsi="Arial" w:cs="Arial"/>
          <w:sz w:val="20"/>
          <w:szCs w:val="20"/>
        </w:rPr>
        <w:t>?,</w:t>
      </w:r>
      <w:proofErr w:type="gramEnd"/>
      <w:r w:rsidRPr="0059476B">
        <w:rPr>
          <w:rFonts w:ascii="Arial" w:eastAsia="Gulim" w:hAnsi="Arial" w:cs="Arial"/>
          <w:sz w:val="20"/>
          <w:szCs w:val="20"/>
        </w:rPr>
        <w:t xml:space="preserve">” </w:t>
      </w:r>
      <w:r w:rsidRPr="0059476B">
        <w:rPr>
          <w:rFonts w:ascii="Arial" w:eastAsia="Gulim" w:hAnsi="Arial" w:cs="Arial"/>
          <w:i/>
          <w:iCs/>
          <w:sz w:val="20"/>
          <w:szCs w:val="20"/>
        </w:rPr>
        <w:t>Journal of Business Venturing</w:t>
      </w:r>
      <w:r w:rsidRPr="0059476B">
        <w:rPr>
          <w:rFonts w:ascii="Arial" w:eastAsia="Gulim" w:hAnsi="Arial" w:cs="Arial"/>
          <w:sz w:val="20"/>
          <w:szCs w:val="20"/>
        </w:rPr>
        <w:t xml:space="preserve"> 4 (1989): 133-147.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R.G. Hubbard, “Capital-Market Imperfections and Investment,” </w:t>
      </w:r>
      <w:r w:rsidRPr="0059476B">
        <w:rPr>
          <w:rFonts w:ascii="Arial" w:eastAsia="Gulim" w:hAnsi="Arial" w:cs="Arial"/>
          <w:i/>
          <w:iCs/>
          <w:sz w:val="20"/>
          <w:szCs w:val="20"/>
        </w:rPr>
        <w:t>Journal of Economic Literature</w:t>
      </w:r>
      <w:r w:rsidRPr="0059476B">
        <w:rPr>
          <w:rFonts w:ascii="Arial" w:eastAsia="Gulim" w:hAnsi="Arial" w:cs="Arial"/>
          <w:sz w:val="20"/>
          <w:szCs w:val="20"/>
        </w:rPr>
        <w:t xml:space="preserve"> 36 (March 1998): 157-186.</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M.C. Jensen, “Agency Cost of Free Cash Flow, Corporate Finance, and Takeovers,” </w:t>
      </w:r>
      <w:r w:rsidRPr="0059476B">
        <w:rPr>
          <w:rFonts w:ascii="Arial" w:eastAsia="Gulim" w:hAnsi="Arial" w:cs="Arial"/>
          <w:i/>
          <w:iCs/>
          <w:sz w:val="20"/>
          <w:szCs w:val="20"/>
        </w:rPr>
        <w:t>American Economic Review</w:t>
      </w:r>
      <w:r w:rsidRPr="0059476B">
        <w:rPr>
          <w:rFonts w:ascii="Arial" w:eastAsia="Gulim" w:hAnsi="Arial" w:cs="Arial"/>
          <w:sz w:val="20"/>
          <w:szCs w:val="20"/>
        </w:rPr>
        <w:t xml:space="preserve"> 76 (May 1986): 323-329.</w:t>
      </w:r>
    </w:p>
    <w:p w:rsidR="004F2F91" w:rsidRPr="0059476B" w:rsidRDefault="004F2F91" w:rsidP="004F2F91">
      <w:pPr>
        <w:spacing w:before="120" w:after="120" w:line="273" w:lineRule="exact"/>
        <w:ind w:left="1440" w:hanging="720"/>
        <w:rPr>
          <w:rFonts w:ascii="Arial" w:eastAsia="Gulim" w:hAnsi="Arial" w:cs="Arial"/>
          <w:sz w:val="20"/>
          <w:szCs w:val="20"/>
        </w:rPr>
      </w:pPr>
      <w:r w:rsidRPr="0059476B">
        <w:rPr>
          <w:rFonts w:ascii="Arial" w:eastAsia="Gulim" w:hAnsi="Arial" w:cs="Arial"/>
          <w:sz w:val="20"/>
          <w:szCs w:val="20"/>
        </w:rPr>
        <w:t xml:space="preserve">S.N. Kaplan and J.C. Stein, “The Evolution of Buyout Pricing and Financial Structure in the 1980s,” </w:t>
      </w:r>
      <w:r w:rsidRPr="0059476B">
        <w:rPr>
          <w:rFonts w:ascii="Arial" w:eastAsia="Gulim" w:hAnsi="Arial" w:cs="Arial"/>
          <w:i/>
          <w:iCs/>
          <w:sz w:val="20"/>
          <w:szCs w:val="20"/>
        </w:rPr>
        <w:t>Quarterly Journal of Economics</w:t>
      </w:r>
      <w:r w:rsidRPr="0059476B">
        <w:rPr>
          <w:rFonts w:ascii="Arial" w:eastAsia="Gulim" w:hAnsi="Arial" w:cs="Arial"/>
          <w:sz w:val="20"/>
          <w:szCs w:val="20"/>
        </w:rPr>
        <w:t xml:space="preserve"> 108 (May 1993): 313-358.</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F. Modigliani and M. Miller, “The Cost of Capital, Corporation Finance, and the Theory of Investment,” </w:t>
      </w:r>
      <w:r w:rsidRPr="0059476B">
        <w:rPr>
          <w:rFonts w:ascii="Arial" w:eastAsia="Gulim" w:hAnsi="Arial" w:cs="Arial"/>
          <w:i/>
          <w:iCs/>
          <w:sz w:val="20"/>
          <w:szCs w:val="20"/>
        </w:rPr>
        <w:t>American Economic Review</w:t>
      </w:r>
      <w:r w:rsidRPr="0059476B">
        <w:rPr>
          <w:rFonts w:ascii="Arial" w:eastAsia="Gulim" w:hAnsi="Arial" w:cs="Arial"/>
          <w:sz w:val="20"/>
          <w:szCs w:val="20"/>
        </w:rPr>
        <w:t xml:space="preserve"> 48 (1958): 261-297.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S. Myers and N. Majluf, “Corporate Financing and Investment Decisions When Firms Have Information that Investors Do Not Have,” </w:t>
      </w:r>
      <w:r w:rsidRPr="0059476B">
        <w:rPr>
          <w:rFonts w:ascii="Arial" w:eastAsia="Gulim" w:hAnsi="Arial" w:cs="Arial"/>
          <w:i/>
          <w:iCs/>
          <w:sz w:val="20"/>
          <w:szCs w:val="20"/>
        </w:rPr>
        <w:t>Journal of Financial Economics</w:t>
      </w:r>
      <w:r w:rsidRPr="0059476B">
        <w:rPr>
          <w:rFonts w:ascii="Arial" w:eastAsia="Gulim" w:hAnsi="Arial" w:cs="Arial"/>
          <w:sz w:val="20"/>
          <w:szCs w:val="20"/>
        </w:rPr>
        <w:t xml:space="preserve"> 13 (1984): 187-221.</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W.A. </w:t>
      </w:r>
      <w:proofErr w:type="spellStart"/>
      <w:r w:rsidRPr="0059476B">
        <w:rPr>
          <w:rFonts w:ascii="Arial" w:eastAsia="Gulim" w:hAnsi="Arial" w:cs="Arial"/>
          <w:sz w:val="20"/>
          <w:szCs w:val="20"/>
        </w:rPr>
        <w:t>Sahlman</w:t>
      </w:r>
      <w:proofErr w:type="spellEnd"/>
      <w:r w:rsidRPr="0059476B">
        <w:rPr>
          <w:rFonts w:ascii="Arial" w:eastAsia="Gulim" w:hAnsi="Arial" w:cs="Arial"/>
          <w:sz w:val="20"/>
          <w:szCs w:val="20"/>
        </w:rPr>
        <w:t xml:space="preserve">, “The Structure and Governance of Venture Capital Organizations,” </w:t>
      </w:r>
      <w:r w:rsidRPr="0059476B">
        <w:rPr>
          <w:rFonts w:ascii="Arial" w:eastAsia="Gulim" w:hAnsi="Arial" w:cs="Arial"/>
          <w:i/>
          <w:iCs/>
          <w:sz w:val="20"/>
          <w:szCs w:val="20"/>
        </w:rPr>
        <w:t>Journal of Financial Economics</w:t>
      </w:r>
      <w:r w:rsidRPr="0059476B">
        <w:rPr>
          <w:rFonts w:ascii="Arial" w:eastAsia="Gulim" w:hAnsi="Arial" w:cs="Arial"/>
          <w:sz w:val="20"/>
          <w:szCs w:val="20"/>
        </w:rPr>
        <w:t xml:space="preserve"> 27 (1990): 473-524.</w:t>
      </w:r>
    </w:p>
    <w:p w:rsidR="004F2F91" w:rsidRDefault="004F2F91">
      <w:pPr>
        <w:widowControl/>
        <w:autoSpaceDE/>
        <w:autoSpaceDN/>
        <w:adjustRightInd/>
        <w:rPr>
          <w:rFonts w:ascii="Arial" w:eastAsia="Gulim" w:hAnsi="Arial" w:cs="Arial"/>
          <w:b/>
          <w:bCs/>
          <w:sz w:val="20"/>
          <w:szCs w:val="20"/>
        </w:rPr>
      </w:pPr>
      <w:r>
        <w:rPr>
          <w:rFonts w:ascii="Arial" w:eastAsia="Gulim" w:hAnsi="Arial" w:cs="Arial"/>
          <w:b/>
          <w:bCs/>
          <w:sz w:val="20"/>
          <w:szCs w:val="20"/>
        </w:rPr>
        <w:br w:type="page"/>
      </w:r>
    </w:p>
    <w:p w:rsidR="00867A99" w:rsidRDefault="00867A99" w:rsidP="004F2F91">
      <w:pPr>
        <w:tabs>
          <w:tab w:val="left" w:pos="-1440"/>
        </w:tabs>
        <w:ind w:left="720" w:hanging="720"/>
        <w:rPr>
          <w:rFonts w:ascii="Arial" w:eastAsia="Gulim" w:hAnsi="Arial" w:cs="Arial"/>
          <w:b/>
          <w:bCs/>
          <w:sz w:val="20"/>
          <w:szCs w:val="20"/>
        </w:rPr>
      </w:pPr>
    </w:p>
    <w:p w:rsidR="00867A99" w:rsidRDefault="00867A99" w:rsidP="004F2F91">
      <w:pPr>
        <w:tabs>
          <w:tab w:val="left" w:pos="-1440"/>
        </w:tabs>
        <w:ind w:left="720" w:hanging="720"/>
        <w:rPr>
          <w:rFonts w:ascii="Arial" w:eastAsia="Gulim" w:hAnsi="Arial" w:cs="Arial"/>
          <w:b/>
          <w:bCs/>
          <w:sz w:val="20"/>
          <w:szCs w:val="20"/>
        </w:rPr>
      </w:pPr>
    </w:p>
    <w:p w:rsidR="00867A99" w:rsidRDefault="00867A99" w:rsidP="004F2F91">
      <w:pPr>
        <w:tabs>
          <w:tab w:val="left" w:pos="-1440"/>
        </w:tabs>
        <w:ind w:left="720" w:hanging="720"/>
        <w:rPr>
          <w:rFonts w:ascii="Arial" w:eastAsia="Gulim" w:hAnsi="Arial" w:cs="Arial"/>
          <w:b/>
          <w:bCs/>
          <w:sz w:val="20"/>
          <w:szCs w:val="20"/>
        </w:rPr>
      </w:pPr>
    </w:p>
    <w:p w:rsidR="004F2F91" w:rsidRPr="0059476B" w:rsidRDefault="004F2F91" w:rsidP="004F2F91">
      <w:pPr>
        <w:tabs>
          <w:tab w:val="left" w:pos="-1440"/>
        </w:tabs>
        <w:ind w:left="720" w:hanging="720"/>
        <w:rPr>
          <w:rFonts w:ascii="Arial" w:eastAsia="Gulim" w:hAnsi="Arial" w:cs="Arial"/>
          <w:sz w:val="20"/>
          <w:szCs w:val="20"/>
        </w:rPr>
      </w:pPr>
      <w:r w:rsidRPr="0059476B">
        <w:rPr>
          <w:rFonts w:ascii="Arial" w:eastAsia="Gulim" w:hAnsi="Arial" w:cs="Arial"/>
          <w:b/>
          <w:bCs/>
          <w:sz w:val="20"/>
          <w:szCs w:val="20"/>
        </w:rPr>
        <w:t xml:space="preserve">IV.   </w:t>
      </w:r>
      <w:r w:rsidRPr="0059476B">
        <w:rPr>
          <w:rFonts w:ascii="Arial" w:eastAsia="Gulim" w:hAnsi="Arial" w:cs="Arial"/>
          <w:b/>
          <w:bCs/>
          <w:sz w:val="20"/>
          <w:szCs w:val="20"/>
        </w:rPr>
        <w:tab/>
        <w:t>HARVESTING SUCCESS</w:t>
      </w:r>
    </w:p>
    <w:p w:rsidR="004F2F91" w:rsidRPr="0059476B" w:rsidRDefault="004F2F91" w:rsidP="004F2F91">
      <w:pPr>
        <w:rPr>
          <w:rFonts w:ascii="Arial" w:eastAsia="Gulim" w:hAnsi="Arial" w:cs="Arial"/>
          <w:sz w:val="20"/>
          <w:szCs w:val="20"/>
        </w:rPr>
      </w:pP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A. </w:t>
      </w:r>
      <w:proofErr w:type="spellStart"/>
      <w:r w:rsidRPr="0059476B">
        <w:rPr>
          <w:rFonts w:ascii="Arial" w:eastAsia="Gulim" w:hAnsi="Arial" w:cs="Arial"/>
          <w:sz w:val="20"/>
          <w:szCs w:val="20"/>
        </w:rPr>
        <w:t>Brav</w:t>
      </w:r>
      <w:proofErr w:type="spellEnd"/>
      <w:r w:rsidRPr="0059476B">
        <w:rPr>
          <w:rFonts w:ascii="Arial" w:eastAsia="Gulim" w:hAnsi="Arial" w:cs="Arial"/>
          <w:sz w:val="20"/>
          <w:szCs w:val="20"/>
        </w:rPr>
        <w:t xml:space="preserve"> and P. Gompers, “Myth or Reality?</w:t>
      </w:r>
      <w:proofErr w:type="gramStart"/>
      <w:r w:rsidRPr="0059476B">
        <w:rPr>
          <w:rFonts w:ascii="Arial" w:eastAsia="Gulim" w:hAnsi="Arial" w:cs="Arial"/>
          <w:sz w:val="20"/>
          <w:szCs w:val="20"/>
        </w:rPr>
        <w:t>”:</w:t>
      </w:r>
      <w:proofErr w:type="gramEnd"/>
      <w:r w:rsidRPr="0059476B">
        <w:rPr>
          <w:rFonts w:ascii="Arial" w:eastAsia="Gulim" w:hAnsi="Arial" w:cs="Arial"/>
          <w:sz w:val="20"/>
          <w:szCs w:val="20"/>
        </w:rPr>
        <w:t xml:space="preserve"> The Long-Run Underperformance of Initial Public Offerings: Evidence From Venture- and </w:t>
      </w:r>
      <w:proofErr w:type="spellStart"/>
      <w:r w:rsidRPr="0059476B">
        <w:rPr>
          <w:rFonts w:ascii="Arial" w:eastAsia="Gulim" w:hAnsi="Arial" w:cs="Arial"/>
          <w:sz w:val="20"/>
          <w:szCs w:val="20"/>
        </w:rPr>
        <w:t>Nonventure</w:t>
      </w:r>
      <w:proofErr w:type="spellEnd"/>
      <w:r w:rsidRPr="0059476B">
        <w:rPr>
          <w:rFonts w:ascii="Arial" w:eastAsia="Gulim" w:hAnsi="Arial" w:cs="Arial"/>
          <w:sz w:val="20"/>
          <w:szCs w:val="20"/>
        </w:rPr>
        <w:t xml:space="preserve">-Backed Companies,” </w:t>
      </w:r>
      <w:r w:rsidRPr="0059476B">
        <w:rPr>
          <w:rFonts w:ascii="Arial" w:eastAsia="Gulim" w:hAnsi="Arial" w:cs="Arial"/>
          <w:i/>
          <w:iCs/>
          <w:sz w:val="20"/>
          <w:szCs w:val="20"/>
        </w:rPr>
        <w:t>Journal of Finance</w:t>
      </w:r>
      <w:r w:rsidRPr="0059476B">
        <w:rPr>
          <w:rFonts w:ascii="Arial" w:eastAsia="Gulim" w:hAnsi="Arial" w:cs="Arial"/>
          <w:sz w:val="20"/>
          <w:szCs w:val="20"/>
        </w:rPr>
        <w:t>, 1997.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M.J. Halloran, L.F. Benton, R.V. Gunderson, Jr., K.L. Kearney, and J. del </w:t>
      </w:r>
      <w:proofErr w:type="spellStart"/>
      <w:r w:rsidRPr="0059476B">
        <w:rPr>
          <w:rFonts w:ascii="Arial" w:eastAsia="Gulim" w:hAnsi="Arial" w:cs="Arial"/>
          <w:sz w:val="20"/>
          <w:szCs w:val="20"/>
        </w:rPr>
        <w:t>Calvo</w:t>
      </w:r>
      <w:proofErr w:type="spellEnd"/>
      <w:r w:rsidRPr="0059476B">
        <w:rPr>
          <w:rFonts w:ascii="Arial" w:eastAsia="Gulim" w:hAnsi="Arial" w:cs="Arial"/>
          <w:sz w:val="20"/>
          <w:szCs w:val="20"/>
        </w:rPr>
        <w:t xml:space="preserve">, </w:t>
      </w:r>
      <w:r w:rsidRPr="0059476B">
        <w:rPr>
          <w:rFonts w:ascii="Arial" w:eastAsia="Gulim" w:hAnsi="Arial" w:cs="Arial"/>
          <w:i/>
          <w:iCs/>
          <w:sz w:val="20"/>
          <w:szCs w:val="20"/>
        </w:rPr>
        <w:t>Venture Capital and Public Offering Negotiation</w:t>
      </w:r>
      <w:r w:rsidRPr="0059476B">
        <w:rPr>
          <w:rFonts w:ascii="Arial" w:eastAsia="Gulim" w:hAnsi="Arial" w:cs="Arial"/>
          <w:sz w:val="20"/>
          <w:szCs w:val="20"/>
        </w:rPr>
        <w:t>, Englewood Cliffs, N.J.: Aspen Law and Business, 1995, volume 1, Chapters 1-2.</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S.N. Kaplan, “The Staying Power of Leveraged Buyouts,” </w:t>
      </w:r>
      <w:r w:rsidRPr="0059476B">
        <w:rPr>
          <w:rFonts w:ascii="Arial" w:eastAsia="Gulim" w:hAnsi="Arial" w:cs="Arial"/>
          <w:i/>
          <w:iCs/>
          <w:sz w:val="20"/>
          <w:szCs w:val="20"/>
        </w:rPr>
        <w:t>Journal of Financial Economics</w:t>
      </w:r>
      <w:r w:rsidRPr="0059476B">
        <w:rPr>
          <w:rFonts w:ascii="Arial" w:eastAsia="Gulim" w:hAnsi="Arial" w:cs="Arial"/>
          <w:sz w:val="20"/>
          <w:szCs w:val="20"/>
        </w:rPr>
        <w:t xml:space="preserve"> 29 (October 1991): 287-313.</w:t>
      </w:r>
    </w:p>
    <w:p w:rsidR="004F2F91" w:rsidRPr="0059476B" w:rsidRDefault="004F2F91" w:rsidP="004F2F91">
      <w:pPr>
        <w:spacing w:after="120"/>
        <w:ind w:firstLine="720"/>
        <w:rPr>
          <w:rFonts w:ascii="Arial" w:eastAsia="Gulim" w:hAnsi="Arial" w:cs="Arial"/>
          <w:sz w:val="20"/>
          <w:szCs w:val="20"/>
        </w:rPr>
      </w:pPr>
      <w:r w:rsidRPr="0059476B">
        <w:rPr>
          <w:rFonts w:ascii="Arial" w:eastAsia="Gulim" w:hAnsi="Arial" w:cs="Arial"/>
          <w:sz w:val="20"/>
          <w:szCs w:val="20"/>
        </w:rPr>
        <w:t xml:space="preserve">M. Kim and J.R. Ritter, “Valuing IPOs,” </w:t>
      </w:r>
      <w:r w:rsidRPr="0059476B">
        <w:rPr>
          <w:rFonts w:ascii="Arial" w:eastAsia="Gulim" w:hAnsi="Arial" w:cs="Arial"/>
          <w:i/>
          <w:iCs/>
          <w:sz w:val="20"/>
          <w:szCs w:val="20"/>
        </w:rPr>
        <w:t>Journal of Finance</w:t>
      </w:r>
      <w:r w:rsidRPr="0059476B">
        <w:rPr>
          <w:rFonts w:ascii="Arial" w:eastAsia="Gulim" w:hAnsi="Arial" w:cs="Arial"/>
          <w:sz w:val="20"/>
          <w:szCs w:val="20"/>
        </w:rPr>
        <w:t>, 53 (September 1999):  409-437.</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J. Lerner, “Venture Capitalists and the Decision to Go Public,” </w:t>
      </w:r>
      <w:r w:rsidRPr="0059476B">
        <w:rPr>
          <w:rFonts w:ascii="Arial" w:eastAsia="Gulim" w:hAnsi="Arial" w:cs="Arial"/>
          <w:i/>
          <w:iCs/>
          <w:sz w:val="20"/>
          <w:szCs w:val="20"/>
        </w:rPr>
        <w:t>Journal of Finance</w:t>
      </w:r>
      <w:r w:rsidRPr="0059476B">
        <w:rPr>
          <w:rFonts w:ascii="Arial" w:eastAsia="Gulim" w:hAnsi="Arial" w:cs="Arial"/>
          <w:sz w:val="20"/>
          <w:szCs w:val="20"/>
        </w:rPr>
        <w:t xml:space="preserve"> 49 (June 1994): 293-316.</w:t>
      </w:r>
      <w:r w:rsidRPr="0059476B">
        <w:rPr>
          <w:rFonts w:ascii="Arial" w:eastAsia="Gulim" w:hAnsi="Arial" w:cs="Arial"/>
          <w:sz w:val="20"/>
          <w:szCs w:val="20"/>
        </w:rPr>
        <w:tab/>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 xml:space="preserve">W. </w:t>
      </w:r>
      <w:proofErr w:type="spellStart"/>
      <w:r w:rsidRPr="0059476B">
        <w:rPr>
          <w:rFonts w:ascii="Arial" w:eastAsia="Gulim" w:hAnsi="Arial" w:cs="Arial"/>
          <w:sz w:val="20"/>
          <w:szCs w:val="20"/>
        </w:rPr>
        <w:t>Megginson</w:t>
      </w:r>
      <w:proofErr w:type="spellEnd"/>
      <w:r w:rsidRPr="0059476B">
        <w:rPr>
          <w:rFonts w:ascii="Arial" w:eastAsia="Gulim" w:hAnsi="Arial" w:cs="Arial"/>
          <w:sz w:val="20"/>
          <w:szCs w:val="20"/>
        </w:rPr>
        <w:t xml:space="preserve"> and K. Weiss, “Venture Capitalist Certification in Initial Public Offerings,” </w:t>
      </w:r>
      <w:r w:rsidRPr="0059476B">
        <w:rPr>
          <w:rFonts w:ascii="Arial" w:eastAsia="Gulim" w:hAnsi="Arial" w:cs="Arial"/>
          <w:i/>
          <w:iCs/>
          <w:sz w:val="20"/>
          <w:szCs w:val="20"/>
        </w:rPr>
        <w:t>Journal of Finance</w:t>
      </w:r>
      <w:r w:rsidRPr="0059476B">
        <w:rPr>
          <w:rFonts w:ascii="Arial" w:eastAsia="Gulim" w:hAnsi="Arial" w:cs="Arial"/>
          <w:sz w:val="20"/>
          <w:szCs w:val="20"/>
        </w:rPr>
        <w:t xml:space="preserve"> 46 (July 1991): 879-893.</w:t>
      </w:r>
    </w:p>
    <w:p w:rsidR="004F2F91" w:rsidRPr="0059476B" w:rsidRDefault="004F2F91" w:rsidP="004F2F91">
      <w:pPr>
        <w:spacing w:after="120"/>
        <w:ind w:left="1440" w:hanging="720"/>
        <w:rPr>
          <w:rFonts w:ascii="Arial" w:eastAsia="Gulim" w:hAnsi="Arial" w:cs="Arial"/>
          <w:sz w:val="20"/>
          <w:szCs w:val="20"/>
        </w:rPr>
      </w:pPr>
      <w:r w:rsidRPr="0059476B">
        <w:rPr>
          <w:rFonts w:ascii="Arial" w:eastAsia="Gulim" w:hAnsi="Arial" w:cs="Arial"/>
          <w:sz w:val="20"/>
          <w:szCs w:val="20"/>
        </w:rPr>
        <w:t>M. Pagano, F. Panetta, and L. Zingales, “Why Do Companies Go Public</w:t>
      </w:r>
      <w:proofErr w:type="gramStart"/>
      <w:r w:rsidRPr="0059476B">
        <w:rPr>
          <w:rFonts w:ascii="Arial" w:eastAsia="Gulim" w:hAnsi="Arial" w:cs="Arial"/>
          <w:sz w:val="20"/>
          <w:szCs w:val="20"/>
        </w:rPr>
        <w:t>?:</w:t>
      </w:r>
      <w:proofErr w:type="gramEnd"/>
      <w:r w:rsidRPr="0059476B">
        <w:rPr>
          <w:rFonts w:ascii="Arial" w:eastAsia="Gulim" w:hAnsi="Arial" w:cs="Arial"/>
          <w:sz w:val="20"/>
          <w:szCs w:val="20"/>
        </w:rPr>
        <w:t xml:space="preserve"> An Empirical Analysis,” </w:t>
      </w:r>
      <w:r w:rsidRPr="0059476B">
        <w:rPr>
          <w:rFonts w:ascii="Arial" w:eastAsia="Gulim" w:hAnsi="Arial" w:cs="Arial"/>
          <w:i/>
          <w:iCs/>
          <w:sz w:val="20"/>
          <w:szCs w:val="20"/>
        </w:rPr>
        <w:t>Journal of Finance</w:t>
      </w:r>
      <w:r w:rsidRPr="0059476B">
        <w:rPr>
          <w:rFonts w:ascii="Arial" w:eastAsia="Gulim" w:hAnsi="Arial" w:cs="Arial"/>
          <w:sz w:val="20"/>
          <w:szCs w:val="20"/>
        </w:rPr>
        <w:t xml:space="preserve"> 53 (March 1998): 27-64.</w:t>
      </w:r>
    </w:p>
    <w:p w:rsidR="004F2F91" w:rsidRPr="0059476B" w:rsidRDefault="004F7755" w:rsidP="004F2F91">
      <w:pPr>
        <w:spacing w:after="120"/>
        <w:ind w:left="1440" w:hanging="720"/>
        <w:rPr>
          <w:rFonts w:ascii="Arial" w:eastAsia="Gulim" w:hAnsi="Arial" w:cs="Arial"/>
          <w:sz w:val="20"/>
          <w:szCs w:val="20"/>
        </w:rPr>
      </w:pPr>
      <w:r>
        <w:rPr>
          <w:rFonts w:ascii="Arial" w:eastAsia="Gulim" w:hAnsi="Arial" w:cs="Arial"/>
          <w:sz w:val="20"/>
          <w:szCs w:val="20"/>
        </w:rPr>
        <w:t>J.</w:t>
      </w:r>
      <w:r w:rsidR="004F2F91" w:rsidRPr="0059476B">
        <w:rPr>
          <w:rFonts w:ascii="Arial" w:eastAsia="Gulim" w:hAnsi="Arial" w:cs="Arial"/>
          <w:sz w:val="20"/>
          <w:szCs w:val="20"/>
        </w:rPr>
        <w:t>R. Ritter, “The Cost of Going Public,”</w:t>
      </w:r>
      <w:r w:rsidR="004F2F91" w:rsidRPr="0059476B">
        <w:rPr>
          <w:rFonts w:ascii="Arial" w:eastAsia="Gulim" w:hAnsi="Arial" w:cs="Arial"/>
          <w:i/>
          <w:iCs/>
          <w:sz w:val="20"/>
          <w:szCs w:val="20"/>
        </w:rPr>
        <w:t xml:space="preserve"> Journal of Financial Economics</w:t>
      </w:r>
      <w:r w:rsidR="004F2F91" w:rsidRPr="0059476B">
        <w:rPr>
          <w:rFonts w:ascii="Arial" w:eastAsia="Gulim" w:hAnsi="Arial" w:cs="Arial"/>
          <w:sz w:val="20"/>
          <w:szCs w:val="20"/>
        </w:rPr>
        <w:t xml:space="preserve"> (1987): 269-281.</w:t>
      </w:r>
    </w:p>
    <w:p w:rsidR="004F2F91" w:rsidRPr="0059476B" w:rsidRDefault="004F7755" w:rsidP="004F2F91">
      <w:pPr>
        <w:spacing w:after="120"/>
        <w:ind w:left="1440" w:hanging="720"/>
        <w:rPr>
          <w:rFonts w:ascii="Arial" w:eastAsia="Gulim" w:hAnsi="Arial" w:cs="Arial"/>
          <w:sz w:val="20"/>
          <w:szCs w:val="20"/>
        </w:rPr>
      </w:pPr>
      <w:r>
        <w:rPr>
          <w:rFonts w:ascii="Arial" w:eastAsia="Gulim" w:hAnsi="Arial" w:cs="Arial"/>
          <w:sz w:val="20"/>
          <w:szCs w:val="20"/>
        </w:rPr>
        <w:t>J.</w:t>
      </w:r>
      <w:r w:rsidR="004F2F91" w:rsidRPr="0059476B">
        <w:rPr>
          <w:rFonts w:ascii="Arial" w:eastAsia="Gulim" w:hAnsi="Arial" w:cs="Arial"/>
          <w:sz w:val="20"/>
          <w:szCs w:val="20"/>
        </w:rPr>
        <w:t xml:space="preserve">R. Ritter, “The Long-Run Performance of Initial Public Offerings,” </w:t>
      </w:r>
      <w:r w:rsidR="004F2F91" w:rsidRPr="0059476B">
        <w:rPr>
          <w:rFonts w:ascii="Arial" w:eastAsia="Gulim" w:hAnsi="Arial" w:cs="Arial"/>
          <w:i/>
          <w:iCs/>
          <w:sz w:val="20"/>
          <w:szCs w:val="20"/>
        </w:rPr>
        <w:t xml:space="preserve">Journal of Finance </w:t>
      </w:r>
      <w:r w:rsidR="004F2F91" w:rsidRPr="0059476B">
        <w:rPr>
          <w:rFonts w:ascii="Arial" w:eastAsia="Gulim" w:hAnsi="Arial" w:cs="Arial"/>
          <w:sz w:val="20"/>
          <w:szCs w:val="20"/>
        </w:rPr>
        <w:t>46 (1991): 3-27.</w:t>
      </w:r>
    </w:p>
    <w:p w:rsidR="004F2F91" w:rsidRPr="0059476B" w:rsidRDefault="004F2F91" w:rsidP="004F2F91">
      <w:pPr>
        <w:spacing w:after="120"/>
        <w:ind w:firstLine="720"/>
        <w:rPr>
          <w:rFonts w:ascii="Arial" w:eastAsia="Gulim" w:hAnsi="Arial" w:cs="Arial"/>
          <w:i/>
          <w:iCs/>
          <w:sz w:val="20"/>
          <w:szCs w:val="20"/>
        </w:rPr>
      </w:pPr>
    </w:p>
    <w:p w:rsidR="004F2F91" w:rsidRPr="0059476B" w:rsidRDefault="004F2F91" w:rsidP="004F2F91">
      <w:pPr>
        <w:spacing w:after="120"/>
        <w:rPr>
          <w:rFonts w:ascii="Arial" w:eastAsia="Gulim" w:hAnsi="Arial" w:cs="Arial"/>
          <w:b/>
          <w:bCs/>
          <w:sz w:val="20"/>
          <w:szCs w:val="20"/>
        </w:rPr>
      </w:pPr>
      <w:r w:rsidRPr="0059476B">
        <w:rPr>
          <w:rFonts w:ascii="Arial" w:eastAsia="Gulim" w:hAnsi="Arial" w:cs="Arial"/>
          <w:sz w:val="20"/>
          <w:szCs w:val="20"/>
        </w:rPr>
        <w:t xml:space="preserve">Other optional reading materials are on Reserve for this course in the Library.  You will find them listed at this link as Business Course Reserves -- </w:t>
      </w:r>
      <w:hyperlink r:id="rId11" w:history="1">
        <w:r w:rsidRPr="0059476B">
          <w:rPr>
            <w:rStyle w:val="Hyperlink"/>
            <w:rFonts w:ascii="Arial" w:hAnsi="Arial" w:cs="Arial"/>
            <w:sz w:val="20"/>
            <w:szCs w:val="20"/>
          </w:rPr>
          <w:t>http://library.columbia.edu/subject-guides/business/entrepreneurship.html</w:t>
        </w:r>
      </w:hyperlink>
      <w:r w:rsidRPr="0059476B">
        <w:rPr>
          <w:rFonts w:ascii="Arial" w:eastAsia="Gulim" w:hAnsi="Arial" w:cs="Arial"/>
          <w:sz w:val="20"/>
          <w:szCs w:val="20"/>
        </w:rPr>
        <w:t xml:space="preserve"> — along with many other helpful resources.  You may also find additional optional readings by coming to see one of us.</w:t>
      </w:r>
    </w:p>
    <w:p w:rsidR="00AB1CCD" w:rsidRDefault="00AB1CCD" w:rsidP="00AB1CCD">
      <w:pPr>
        <w:pStyle w:val="NormalWeb"/>
        <w:spacing w:before="0" w:beforeAutospacing="0" w:after="0" w:afterAutospacing="0"/>
        <w:rPr>
          <w:rFonts w:ascii="Arial" w:eastAsia="Gulim" w:hAnsi="Arial" w:cs="Arial"/>
          <w:b/>
          <w:sz w:val="20"/>
          <w:szCs w:val="20"/>
        </w:rPr>
      </w:pPr>
    </w:p>
    <w:p w:rsidR="004F2F91" w:rsidRPr="00AB1CCD" w:rsidRDefault="004F2F91" w:rsidP="00AB1CCD">
      <w:pPr>
        <w:pStyle w:val="NormalWeb"/>
        <w:spacing w:before="0" w:beforeAutospacing="0" w:after="0" w:afterAutospacing="0"/>
        <w:rPr>
          <w:rFonts w:ascii="Arial" w:eastAsia="Gulim" w:hAnsi="Arial" w:cs="Arial"/>
          <w:b/>
          <w:sz w:val="20"/>
          <w:szCs w:val="20"/>
        </w:rPr>
      </w:pPr>
    </w:p>
    <w:sectPr w:rsidR="004F2F91" w:rsidRPr="00AB1CCD" w:rsidSect="00867A99">
      <w:pgSz w:w="12240" w:h="15840" w:code="1"/>
      <w:pgMar w:top="720" w:right="1008" w:bottom="720" w:left="100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91" w:rsidRDefault="004F2F91" w:rsidP="004F2F91">
      <w:r>
        <w:separator/>
      </w:r>
    </w:p>
  </w:endnote>
  <w:endnote w:type="continuationSeparator" w:id="0">
    <w:p w:rsidR="004F2F91" w:rsidRDefault="004F2F91" w:rsidP="004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91029"/>
      <w:docPartObj>
        <w:docPartGallery w:val="Page Numbers (Bottom of Page)"/>
        <w:docPartUnique/>
      </w:docPartObj>
    </w:sdtPr>
    <w:sdtEndPr>
      <w:rPr>
        <w:noProof/>
      </w:rPr>
    </w:sdtEndPr>
    <w:sdtContent>
      <w:p w:rsidR="004F2F91" w:rsidRDefault="004F2F91">
        <w:pPr>
          <w:pStyle w:val="Footer"/>
          <w:jc w:val="right"/>
        </w:pPr>
        <w:r>
          <w:fldChar w:fldCharType="begin"/>
        </w:r>
        <w:r>
          <w:instrText xml:space="preserve"> PAGE   \* MERGEFORMAT </w:instrText>
        </w:r>
        <w:r>
          <w:fldChar w:fldCharType="separate"/>
        </w:r>
        <w:r w:rsidR="00F126DA">
          <w:rPr>
            <w:noProof/>
          </w:rPr>
          <w:t>vi</w:t>
        </w:r>
        <w:r>
          <w:rPr>
            <w:noProof/>
          </w:rPr>
          <w:fldChar w:fldCharType="end"/>
        </w:r>
      </w:p>
    </w:sdtContent>
  </w:sdt>
  <w:p w:rsidR="004F2F91" w:rsidRDefault="004F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91" w:rsidRDefault="004F2F91" w:rsidP="004F2F91">
      <w:r>
        <w:separator/>
      </w:r>
    </w:p>
  </w:footnote>
  <w:footnote w:type="continuationSeparator" w:id="0">
    <w:p w:rsidR="004F2F91" w:rsidRDefault="004F2F91" w:rsidP="004F2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3D3A349E"/>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F"/>
    <w:multiLevelType w:val="multilevel"/>
    <w:tmpl w:val="00000000"/>
    <w:name w:val="AutoList12"/>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303C31B4"/>
    <w:multiLevelType w:val="multilevel"/>
    <w:tmpl w:val="EB7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45786"/>
    <w:multiLevelType w:val="multilevel"/>
    <w:tmpl w:val="FA1E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37565"/>
    <w:multiLevelType w:val="multilevel"/>
    <w:tmpl w:val="07C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lvlOverride w:ilvl="0">
      <w:lvl w:ilvl="0">
        <w:start w:val="1"/>
        <w:numFmt w:val="upperRoman"/>
        <w:pStyle w:val="Level1"/>
        <w:lvlText w:val="%1."/>
        <w:lvlJc w:val="left"/>
        <w:pPr>
          <w:ind w:left="0" w:firstLine="0"/>
        </w:pPr>
        <w:rPr>
          <w:rFonts w:hint="default"/>
        </w:rPr>
      </w:lvl>
    </w:lvlOverride>
    <w:lvlOverride w:ilvl="1">
      <w:lvl w:ilvl="1">
        <w:start w:val="1"/>
        <w:numFmt w:val="upperRoman"/>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1"/>
    <w:lvlOverride w:ilvl="0">
      <w:startOverride w:val="1"/>
      <w:lvl w:ilvl="0">
        <w:start w:val="1"/>
        <w:numFmt w:val="upperLetter"/>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0"/>
    <w:lvlOverride w:ilvl="0">
      <w:startOverride w:val="3"/>
      <w:lvl w:ilvl="0">
        <w:start w:val="3"/>
        <w:numFmt w:val="upperRoman"/>
        <w:pStyle w:val="Level1"/>
        <w:lvlText w:val="%1."/>
        <w:lvlJc w:val="left"/>
        <w:pPr>
          <w:ind w:left="0" w:firstLine="0"/>
        </w:pPr>
        <w:rPr>
          <w:rFonts w:hint="default"/>
          <w:b/>
        </w:rPr>
      </w:lvl>
    </w:lvlOverride>
    <w:lvlOverride w:ilvl="1">
      <w:startOverride w:val="1"/>
      <w:lvl w:ilvl="1">
        <w:start w:val="1"/>
        <w:numFmt w:val="upperRoman"/>
        <w:lvlText w:val="%2."/>
        <w:lvlJc w:val="left"/>
        <w:pPr>
          <w:ind w:left="0" w:firstLine="0"/>
        </w:pPr>
        <w:rPr>
          <w:rFonts w:hint="default"/>
        </w:rPr>
      </w:lvl>
    </w:lvlOverride>
    <w:lvlOverride w:ilvl="2">
      <w:startOverride w:val="1"/>
      <w:lvl w:ilvl="2">
        <w:start w:val="1"/>
        <w:numFmt w:val="upperRoman"/>
        <w:lvlText w:val="%3."/>
        <w:lvlJc w:val="left"/>
        <w:pPr>
          <w:ind w:left="0" w:firstLine="0"/>
        </w:pPr>
        <w:rPr>
          <w:rFonts w:hint="default"/>
        </w:rPr>
      </w:lvl>
    </w:lvlOverride>
    <w:lvlOverride w:ilvl="3">
      <w:startOverride w:val="1"/>
      <w:lvl w:ilvl="3">
        <w:start w:val="1"/>
        <w:numFmt w:val="upperRoman"/>
        <w:lvlText w:val="%4."/>
        <w:lvlJc w:val="left"/>
        <w:pPr>
          <w:ind w:left="0" w:firstLine="0"/>
        </w:pPr>
        <w:rPr>
          <w:rFonts w:hint="default"/>
        </w:rPr>
      </w:lvl>
    </w:lvlOverride>
    <w:lvlOverride w:ilvl="4">
      <w:startOverride w:val="1"/>
      <w:lvl w:ilvl="4">
        <w:start w:val="1"/>
        <w:numFmt w:val="upperRoman"/>
        <w:lvlText w:val="%5."/>
        <w:lvlJc w:val="left"/>
        <w:pPr>
          <w:ind w:left="0" w:firstLine="0"/>
        </w:pPr>
        <w:rPr>
          <w:rFonts w:hint="default"/>
        </w:rPr>
      </w:lvl>
    </w:lvlOverride>
    <w:lvlOverride w:ilvl="5">
      <w:startOverride w:val="1"/>
      <w:lvl w:ilvl="5">
        <w:start w:val="1"/>
        <w:numFmt w:val="upperRoman"/>
        <w:lvlText w:val="%6."/>
        <w:lvlJc w:val="left"/>
        <w:pPr>
          <w:ind w:left="0" w:firstLine="0"/>
        </w:pPr>
        <w:rPr>
          <w:rFonts w:hint="default"/>
        </w:rPr>
      </w:lvl>
    </w:lvlOverride>
    <w:lvlOverride w:ilvl="6">
      <w:startOverride w:val="1"/>
      <w:lvl w:ilvl="6">
        <w:start w:val="1"/>
        <w:numFmt w:val="upperRoman"/>
        <w:lvlText w:val="%7."/>
        <w:lvlJc w:val="left"/>
        <w:pPr>
          <w:ind w:left="0" w:firstLine="0"/>
        </w:pPr>
        <w:rPr>
          <w:rFonts w:hint="default"/>
        </w:rPr>
      </w:lvl>
    </w:lvlOverride>
    <w:lvlOverride w:ilvl="7">
      <w:startOverride w:val="1"/>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CD"/>
    <w:rsid w:val="00020628"/>
    <w:rsid w:val="000D694E"/>
    <w:rsid w:val="00392D64"/>
    <w:rsid w:val="003F4479"/>
    <w:rsid w:val="004F2F91"/>
    <w:rsid w:val="004F7755"/>
    <w:rsid w:val="00554DC4"/>
    <w:rsid w:val="00655FC8"/>
    <w:rsid w:val="00675032"/>
    <w:rsid w:val="006B0154"/>
    <w:rsid w:val="007D0E9C"/>
    <w:rsid w:val="008620F7"/>
    <w:rsid w:val="00867A99"/>
    <w:rsid w:val="0088723A"/>
    <w:rsid w:val="00921F5C"/>
    <w:rsid w:val="009851F4"/>
    <w:rsid w:val="00AB1CCD"/>
    <w:rsid w:val="00B07DE4"/>
    <w:rsid w:val="00BC6BAB"/>
    <w:rsid w:val="00BF75C2"/>
    <w:rsid w:val="00D4417A"/>
    <w:rsid w:val="00F126DA"/>
    <w:rsid w:val="00F8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C21C828-7A0D-4083-BDB8-F5896048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CD"/>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CCD"/>
  </w:style>
  <w:style w:type="paragraph" w:styleId="NormalWeb">
    <w:name w:val="Normal (Web)"/>
    <w:basedOn w:val="Normal"/>
    <w:rsid w:val="00AB1CCD"/>
    <w:pPr>
      <w:widowControl/>
      <w:autoSpaceDE/>
      <w:autoSpaceDN/>
      <w:adjustRightInd/>
      <w:spacing w:before="100" w:beforeAutospacing="1" w:after="100" w:afterAutospacing="1"/>
    </w:pPr>
  </w:style>
  <w:style w:type="paragraph" w:customStyle="1" w:styleId="Level1">
    <w:name w:val="Level 1"/>
    <w:basedOn w:val="Normal"/>
    <w:rsid w:val="00AB1CCD"/>
    <w:pPr>
      <w:numPr>
        <w:numId w:val="4"/>
      </w:numPr>
      <w:outlineLvl w:val="0"/>
    </w:pPr>
  </w:style>
  <w:style w:type="paragraph" w:customStyle="1" w:styleId="Level2">
    <w:name w:val="Level 2"/>
    <w:basedOn w:val="Normal"/>
    <w:rsid w:val="00AB1CCD"/>
    <w:pPr>
      <w:numPr>
        <w:ilvl w:val="1"/>
        <w:numId w:val="5"/>
      </w:numPr>
      <w:ind w:left="1440" w:hanging="720"/>
      <w:outlineLvl w:val="1"/>
    </w:pPr>
  </w:style>
  <w:style w:type="paragraph" w:styleId="Header">
    <w:name w:val="header"/>
    <w:basedOn w:val="Normal"/>
    <w:link w:val="HeaderChar"/>
    <w:uiPriority w:val="99"/>
    <w:unhideWhenUsed/>
    <w:rsid w:val="004F2F91"/>
    <w:pPr>
      <w:tabs>
        <w:tab w:val="center" w:pos="4680"/>
        <w:tab w:val="right" w:pos="9360"/>
      </w:tabs>
    </w:pPr>
  </w:style>
  <w:style w:type="character" w:customStyle="1" w:styleId="HeaderChar">
    <w:name w:val="Header Char"/>
    <w:basedOn w:val="DefaultParagraphFont"/>
    <w:link w:val="Header"/>
    <w:uiPriority w:val="99"/>
    <w:rsid w:val="004F2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F91"/>
    <w:pPr>
      <w:tabs>
        <w:tab w:val="center" w:pos="4680"/>
        <w:tab w:val="right" w:pos="9360"/>
      </w:tabs>
    </w:pPr>
  </w:style>
  <w:style w:type="character" w:customStyle="1" w:styleId="FooterChar">
    <w:name w:val="Footer Char"/>
    <w:basedOn w:val="DefaultParagraphFont"/>
    <w:link w:val="Footer"/>
    <w:uiPriority w:val="99"/>
    <w:rsid w:val="004F2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94E"/>
    <w:rPr>
      <w:rFonts w:ascii="Tahoma" w:hAnsi="Tahoma" w:cs="Tahoma"/>
      <w:sz w:val="16"/>
      <w:szCs w:val="16"/>
    </w:rPr>
  </w:style>
  <w:style w:type="character" w:customStyle="1" w:styleId="BalloonTextChar">
    <w:name w:val="Balloon Text Char"/>
    <w:basedOn w:val="DefaultParagraphFont"/>
    <w:link w:val="BalloonText"/>
    <w:uiPriority w:val="99"/>
    <w:semiHidden/>
    <w:rsid w:val="000D69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olumbia.edu/subject-guides/business/entrepreneurshi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gh1@columb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columbia.edu/subject-guides/business/entrepreneurship.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4.gsb.columbia.edu/entrepreneu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CF1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Wilhelmina</dc:creator>
  <cp:lastModifiedBy>Sanford, Wilhelmina</cp:lastModifiedBy>
  <cp:revision>4</cp:revision>
  <cp:lastPrinted>2015-03-17T15:26:00Z</cp:lastPrinted>
  <dcterms:created xsi:type="dcterms:W3CDTF">2015-03-10T16:44:00Z</dcterms:created>
  <dcterms:modified xsi:type="dcterms:W3CDTF">2015-05-06T20:57:00Z</dcterms:modified>
</cp:coreProperties>
</file>