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8F21E" w14:textId="77777777" w:rsidR="00934BFC" w:rsidRDefault="00934BFC" w:rsidP="00934BFC"/>
    <w:p w14:paraId="2EFD4E81" w14:textId="77777777" w:rsidR="00934BFC" w:rsidRDefault="00934BFC" w:rsidP="00934BFC">
      <w:pPr>
        <w:sectPr w:rsidR="00934BFC" w:rsidSect="00535F4E">
          <w:headerReference w:type="default" r:id="rId7"/>
          <w:footerReference w:type="default" r:id="rId8"/>
          <w:pgSz w:w="12240" w:h="15840"/>
          <w:pgMar w:top="1440" w:right="720" w:bottom="1440" w:left="720" w:header="720" w:footer="720" w:gutter="0"/>
          <w:cols w:space="720"/>
          <w:docGrid w:linePitch="360"/>
        </w:sectPr>
      </w:pPr>
    </w:p>
    <w:p w14:paraId="46B96A07" w14:textId="7166E06E" w:rsidR="00535F4E" w:rsidRPr="009D4808" w:rsidRDefault="007908E1" w:rsidP="009D4808">
      <w:pPr>
        <w:pStyle w:val="Heading1"/>
      </w:pPr>
      <w:r w:rsidRPr="009D4808">
        <w:lastRenderedPageBreak/>
        <w:t>B</w:t>
      </w:r>
      <w:r w:rsidR="007C46A3" w:rsidRPr="009D4808">
        <w:t>5</w:t>
      </w:r>
      <w:r w:rsidRPr="009D4808">
        <w:t xml:space="preserve">502 </w:t>
      </w:r>
      <w:r w:rsidR="00040786" w:rsidRPr="009D4808">
        <w:t>STRATEGY FORMULATION</w:t>
      </w:r>
      <w:r w:rsidR="00891FFA" w:rsidRPr="009D4808">
        <w:t xml:space="preserve"> </w:t>
      </w:r>
    </w:p>
    <w:p w14:paraId="52256D1A" w14:textId="4246FBDE" w:rsidR="00535F4E" w:rsidRPr="00535F4E" w:rsidRDefault="008B133C" w:rsidP="00535F4E">
      <w:pPr>
        <w:jc w:val="center"/>
        <w:rPr>
          <w:b/>
          <w:sz w:val="28"/>
          <w:szCs w:val="28"/>
        </w:rPr>
      </w:pPr>
      <w:r>
        <w:rPr>
          <w:b/>
          <w:sz w:val="28"/>
          <w:szCs w:val="28"/>
        </w:rPr>
        <w:t>Spring</w:t>
      </w:r>
      <w:r w:rsidR="00496FE2">
        <w:rPr>
          <w:b/>
          <w:sz w:val="28"/>
          <w:szCs w:val="28"/>
        </w:rPr>
        <w:t xml:space="preserve"> </w:t>
      </w:r>
      <w:r w:rsidR="007908E1">
        <w:rPr>
          <w:b/>
          <w:sz w:val="28"/>
          <w:szCs w:val="28"/>
        </w:rPr>
        <w:t>201</w:t>
      </w:r>
      <w:r w:rsidR="00164697">
        <w:rPr>
          <w:b/>
          <w:sz w:val="28"/>
          <w:szCs w:val="28"/>
        </w:rPr>
        <w:t>7</w:t>
      </w:r>
    </w:p>
    <w:p w14:paraId="00D76121" w14:textId="0FBC0E91" w:rsidR="00934BFC" w:rsidRDefault="00B1252B" w:rsidP="00934BFC">
      <w:r>
        <w:t>BO COWGILL</w:t>
      </w:r>
    </w:p>
    <w:p w14:paraId="61B5EAEE" w14:textId="75BFB542" w:rsidR="00934BFC" w:rsidRDefault="007908E1" w:rsidP="00934BFC">
      <w:r>
        <w:t>Uris Hall 7</w:t>
      </w:r>
      <w:r w:rsidR="007351EB">
        <w:t>05</w:t>
      </w:r>
    </w:p>
    <w:p w14:paraId="0A23D30E" w14:textId="31D43503" w:rsidR="00934BFC" w:rsidRDefault="00934BFC" w:rsidP="00934BFC">
      <w:r>
        <w:t>E-mail:</w:t>
      </w:r>
      <w:r>
        <w:tab/>
      </w:r>
      <w:hyperlink r:id="rId9" w:history="1">
        <w:r w:rsidR="00B1252B" w:rsidRPr="003346A1">
          <w:rPr>
            <w:rStyle w:val="Hyperlink"/>
          </w:rPr>
          <w:t>bo.cowgill@gsb.columbia.edu</w:t>
        </w:r>
      </w:hyperlink>
      <w:r w:rsidR="00B1252B">
        <w:t xml:space="preserve"> </w:t>
      </w:r>
    </w:p>
    <w:p w14:paraId="1B646CD2" w14:textId="032D7EAB" w:rsidR="00934BFC" w:rsidRDefault="00934BFC" w:rsidP="00934BFC">
      <w:r>
        <w:t>Office Hours:</w:t>
      </w:r>
      <w:r>
        <w:tab/>
      </w:r>
      <w:r w:rsidR="00CE30C4">
        <w:t xml:space="preserve">By </w:t>
      </w:r>
      <w:r w:rsidR="00F00993">
        <w:t>Appointment</w:t>
      </w:r>
    </w:p>
    <w:p w14:paraId="76AF789F" w14:textId="77777777" w:rsidR="00934BFC" w:rsidRDefault="00934BFC" w:rsidP="00934BFC"/>
    <w:p w14:paraId="29117A42" w14:textId="77777777" w:rsidR="007351EB" w:rsidRDefault="007351EB" w:rsidP="00934BFC">
      <w:pPr>
        <w:sectPr w:rsidR="007351EB" w:rsidSect="00535F4E">
          <w:type w:val="continuous"/>
          <w:pgSz w:w="12240" w:h="15840"/>
          <w:pgMar w:top="1440" w:right="720" w:bottom="1440" w:left="720" w:header="720" w:footer="720" w:gutter="0"/>
          <w:cols w:space="720"/>
          <w:docGrid w:linePitch="360"/>
        </w:sectPr>
      </w:pPr>
    </w:p>
    <w:p w14:paraId="146B95A2" w14:textId="77777777" w:rsidR="00934BFC" w:rsidRDefault="00934BFC" w:rsidP="00934BFC">
      <w:r>
        <w:rPr>
          <w:noProof/>
        </w:rPr>
        <w:lastRenderedPageBreak/>
        <mc:AlternateContent>
          <mc:Choice Requires="wps">
            <w:drawing>
              <wp:anchor distT="0" distB="0" distL="114300" distR="114300" simplePos="0" relativeHeight="251659264" behindDoc="0" locked="0" layoutInCell="1" allowOverlap="1" wp14:anchorId="692A9720" wp14:editId="21F4930D">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7B7B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mc:Fallback>
        </mc:AlternateContent>
      </w:r>
    </w:p>
    <w:p w14:paraId="7E58139B" w14:textId="77777777" w:rsidR="00934BFC" w:rsidRPr="009D4808" w:rsidRDefault="00934BFC" w:rsidP="009D4808">
      <w:pPr>
        <w:pStyle w:val="Heading2"/>
      </w:pPr>
      <w:r w:rsidRPr="009D4808">
        <w:t>REQUIRED COURSE MATERIAL</w:t>
      </w:r>
    </w:p>
    <w:p w14:paraId="13F52483" w14:textId="77777777" w:rsidR="00934BFC" w:rsidRDefault="007908E1" w:rsidP="00934BFC">
      <w:r>
        <w:t>Casebook</w:t>
      </w:r>
    </w:p>
    <w:p w14:paraId="3E866B2A" w14:textId="77777777" w:rsidR="00934BFC" w:rsidRPr="005D07B6" w:rsidRDefault="00934BFC" w:rsidP="009D4808">
      <w:pPr>
        <w:pStyle w:val="Heading2"/>
      </w:pPr>
      <w:r>
        <w:t>COURSE DESCRIPTION</w:t>
      </w:r>
    </w:p>
    <w:p w14:paraId="45C9FF3A" w14:textId="77777777" w:rsidR="007908E1" w:rsidRPr="007908E1" w:rsidRDefault="007908E1" w:rsidP="007908E1">
      <w:r w:rsidRPr="007908E1">
        <w:t xml:space="preserve">This course </w:t>
      </w:r>
      <w:proofErr w:type="gramStart"/>
      <w:r w:rsidRPr="007908E1">
        <w:t>provides an introduction to</w:t>
      </w:r>
      <w:proofErr w:type="gramEnd"/>
      <w:r w:rsidRPr="007908E1">
        <w:t xml:space="preserve"> strategic management. “Strategy Formulation” has two broad goals. A first is to understand why some companies are financially much more successful than others. Second, we will analyze how managers can devise a set of actions (“the strategy”) and design processes that allow their company to obtain a financial advantage. To gain a better understanding of strategic issues and begin to master the analytic tools that strategists use, we will study the strategic decisions of companies in many different industries and countries, ranging from U.S. technology firms to a Spanish fashion retailer and a Mexican cement manufacturer.</w:t>
      </w:r>
    </w:p>
    <w:p w14:paraId="71512D28" w14:textId="77777777" w:rsidR="007908E1" w:rsidRPr="007908E1" w:rsidRDefault="007908E1" w:rsidP="007908E1">
      <w:r w:rsidRPr="007908E1">
        <w:t xml:space="preserve">The course material is grouped in three modules. The first, titled </w:t>
      </w:r>
      <w:r w:rsidRPr="007908E1">
        <w:rPr>
          <w:i/>
          <w:iCs/>
        </w:rPr>
        <w:t xml:space="preserve">“Competitive Advantage,” </w:t>
      </w:r>
      <w:r w:rsidRPr="007908E1">
        <w:t xml:space="preserve">shows what companies can do to outperform their rivals. The second module, </w:t>
      </w:r>
      <w:r w:rsidRPr="007908E1">
        <w:rPr>
          <w:i/>
          <w:iCs/>
        </w:rPr>
        <w:t xml:space="preserve">“Competitive Dynamics,” </w:t>
      </w:r>
      <w:r w:rsidRPr="007908E1">
        <w:t xml:space="preserve">analyzes the competitive moves of rival firms. This module relies heavily on game- theoretic concepts. In the final module, </w:t>
      </w:r>
      <w:r w:rsidRPr="007908E1">
        <w:rPr>
          <w:i/>
          <w:iCs/>
        </w:rPr>
        <w:t xml:space="preserve">“Corporate Scope,” </w:t>
      </w:r>
      <w:r w:rsidRPr="007908E1">
        <w:t>we will ask when it makes sense for companies to diversify and globalize their business.</w:t>
      </w:r>
    </w:p>
    <w:p w14:paraId="523E569C" w14:textId="77777777" w:rsidR="00934BFC" w:rsidRPr="00934BFC" w:rsidRDefault="00934BFC" w:rsidP="009D4808">
      <w:pPr>
        <w:pStyle w:val="Heading2"/>
      </w:pPr>
      <w:r w:rsidRPr="00934BFC">
        <w:t>COURSE OBJECTIVES</w:t>
      </w:r>
    </w:p>
    <w:p w14:paraId="3C8D7AE9" w14:textId="77777777" w:rsidR="000D24A7" w:rsidRDefault="000D24A7" w:rsidP="00934BFC">
      <w:r w:rsidRPr="000D24A7">
        <w:t>The primary objective of Strategy Formulation is to allow you to analyze the sources of companies’ competitive advantage. This skill is not only critical for positions in general management but also for those who aspire to careers in banking and consulting. The course will provide the analytic tools to analyze competitors, predict competitor behavior, and understand how firms can develop and sustain advantages over time.</w:t>
      </w:r>
    </w:p>
    <w:p w14:paraId="1AB10720" w14:textId="77777777" w:rsidR="00934BFC" w:rsidRPr="00934BFC" w:rsidRDefault="00934BFC" w:rsidP="009D4808">
      <w:pPr>
        <w:pStyle w:val="Heading2"/>
      </w:pPr>
      <w:r w:rsidRPr="00934BFC">
        <w:t>ASSIGNMENTS</w:t>
      </w:r>
    </w:p>
    <w:p w14:paraId="146B1F3C" w14:textId="61B7B31B" w:rsidR="005A6147" w:rsidRDefault="000D24A7" w:rsidP="007351EB">
      <w:r w:rsidRPr="007351EB">
        <w:t>Midterm Group Project</w:t>
      </w:r>
      <w:r w:rsidR="007351EB" w:rsidRPr="007351EB">
        <w:t>:</w:t>
      </w:r>
      <w:r w:rsidRPr="007351EB">
        <w:t xml:space="preserve"> </w:t>
      </w:r>
      <w:r w:rsidR="007351EB" w:rsidRPr="007351EB">
        <w:t>D</w:t>
      </w:r>
      <w:r w:rsidRPr="007351EB">
        <w:t xml:space="preserve">ue </w:t>
      </w:r>
      <w:r w:rsidR="00DB24A0">
        <w:t xml:space="preserve">by end of </w:t>
      </w:r>
      <w:r w:rsidR="00B1252B">
        <w:t xml:space="preserve">first set of classes </w:t>
      </w:r>
      <w:r w:rsidR="009621A1">
        <w:t xml:space="preserve">on </w:t>
      </w:r>
      <w:r w:rsidR="009621A1" w:rsidRPr="009621A1">
        <w:rPr>
          <w:b/>
        </w:rPr>
        <w:t>Sunday, January 29, 2017</w:t>
      </w:r>
      <w:r w:rsidR="005A6147" w:rsidRPr="007351EB">
        <w:t>.</w:t>
      </w:r>
    </w:p>
    <w:p w14:paraId="36DC29DC" w14:textId="157F4D3D" w:rsidR="008669F9" w:rsidRPr="007351EB" w:rsidRDefault="008669F9" w:rsidP="007351EB">
      <w:r>
        <w:lastRenderedPageBreak/>
        <w:t xml:space="preserve">Final Exam: Due by </w:t>
      </w:r>
      <w:r w:rsidR="00DB24A0">
        <w:t xml:space="preserve">the end of </w:t>
      </w:r>
      <w:r w:rsidR="00B1252B">
        <w:t xml:space="preserve">second set of classes </w:t>
      </w:r>
      <w:r w:rsidR="00A4590B">
        <w:rPr>
          <w:b/>
        </w:rPr>
        <w:t>Sunday, February 19, 2017</w:t>
      </w:r>
      <w:r w:rsidRPr="00DB24A0">
        <w:t>.</w:t>
      </w:r>
    </w:p>
    <w:p w14:paraId="6C99F4A5" w14:textId="77777777" w:rsidR="000D24A7" w:rsidRDefault="00535F4E" w:rsidP="009D4808">
      <w:pPr>
        <w:pStyle w:val="Heading2"/>
      </w:pPr>
      <w:r>
        <w:t>METHOD OF EVALUATION</w:t>
      </w:r>
    </w:p>
    <w:tbl>
      <w:tblPr>
        <w:tblStyle w:val="TableGrid"/>
        <w:tblW w:w="0" w:type="auto"/>
        <w:tblLook w:val="04A0" w:firstRow="1" w:lastRow="0" w:firstColumn="1" w:lastColumn="0" w:noHBand="0" w:noVBand="1"/>
      </w:tblPr>
      <w:tblGrid>
        <w:gridCol w:w="2718"/>
        <w:gridCol w:w="1260"/>
      </w:tblGrid>
      <w:tr w:rsidR="00535F4E" w14:paraId="6A3821D9" w14:textId="77777777" w:rsidTr="00891FFA">
        <w:tc>
          <w:tcPr>
            <w:tcW w:w="2718" w:type="dxa"/>
          </w:tcPr>
          <w:p w14:paraId="694B5274" w14:textId="77777777" w:rsidR="00535F4E" w:rsidRDefault="00A46929" w:rsidP="00891FFA">
            <w:r>
              <w:t>P</w:t>
            </w:r>
            <w:r w:rsidR="00535F4E">
              <w:t>articipation</w:t>
            </w:r>
          </w:p>
        </w:tc>
        <w:tc>
          <w:tcPr>
            <w:tcW w:w="1260" w:type="dxa"/>
          </w:tcPr>
          <w:p w14:paraId="09A7175E" w14:textId="0A30B537" w:rsidR="00535F4E" w:rsidRDefault="007351EB" w:rsidP="00891FFA">
            <w:r>
              <w:t>3</w:t>
            </w:r>
            <w:r w:rsidR="000D24A7">
              <w:t>0</w:t>
            </w:r>
            <w:r w:rsidR="00535F4E">
              <w:t>%</w:t>
            </w:r>
          </w:p>
        </w:tc>
      </w:tr>
      <w:tr w:rsidR="00535F4E" w14:paraId="7BBB5B38" w14:textId="77777777" w:rsidTr="00891FFA">
        <w:tc>
          <w:tcPr>
            <w:tcW w:w="2718" w:type="dxa"/>
          </w:tcPr>
          <w:p w14:paraId="06778496" w14:textId="77777777" w:rsidR="00535F4E" w:rsidRDefault="00535F4E" w:rsidP="00891FFA">
            <w:r>
              <w:t>Project</w:t>
            </w:r>
          </w:p>
        </w:tc>
        <w:tc>
          <w:tcPr>
            <w:tcW w:w="1260" w:type="dxa"/>
          </w:tcPr>
          <w:p w14:paraId="3226208C" w14:textId="77777777" w:rsidR="00535F4E" w:rsidRDefault="000D24A7" w:rsidP="00891FFA">
            <w:r>
              <w:t>20</w:t>
            </w:r>
            <w:r w:rsidR="00535F4E">
              <w:t>%</w:t>
            </w:r>
          </w:p>
        </w:tc>
      </w:tr>
      <w:tr w:rsidR="00535F4E" w14:paraId="663695E5" w14:textId="77777777" w:rsidTr="00891FFA">
        <w:tc>
          <w:tcPr>
            <w:tcW w:w="2718" w:type="dxa"/>
          </w:tcPr>
          <w:p w14:paraId="5DA774AB" w14:textId="77777777" w:rsidR="00535F4E" w:rsidRDefault="00535F4E" w:rsidP="00891FFA">
            <w:r>
              <w:t>Final Exam</w:t>
            </w:r>
          </w:p>
        </w:tc>
        <w:tc>
          <w:tcPr>
            <w:tcW w:w="1260" w:type="dxa"/>
          </w:tcPr>
          <w:p w14:paraId="7C33B1BD" w14:textId="0F8CD69A" w:rsidR="00535F4E" w:rsidRDefault="007351EB" w:rsidP="00891FFA">
            <w:r>
              <w:t>5</w:t>
            </w:r>
            <w:r w:rsidR="000D24A7">
              <w:t>0</w:t>
            </w:r>
            <w:r w:rsidR="00535F4E">
              <w:t>%</w:t>
            </w:r>
          </w:p>
        </w:tc>
      </w:tr>
    </w:tbl>
    <w:p w14:paraId="5721644E" w14:textId="77777777" w:rsidR="000A1ED8" w:rsidRDefault="000A1ED8" w:rsidP="00535F4E"/>
    <w:p w14:paraId="3711F6AD" w14:textId="77777777" w:rsidR="000D24A7" w:rsidRPr="009D4808" w:rsidRDefault="000D24A7" w:rsidP="009D4808">
      <w:pPr>
        <w:pStyle w:val="Heading3"/>
      </w:pPr>
      <w:r w:rsidRPr="009D4808">
        <w:t>1. Class Participation</w:t>
      </w:r>
    </w:p>
    <w:p w14:paraId="47312BBB" w14:textId="77777777" w:rsidR="000D24A7" w:rsidRPr="000D24A7" w:rsidRDefault="000D24A7" w:rsidP="000D24A7">
      <w:r w:rsidRPr="000D24A7">
        <w:t>An important course requirement is active involvement in class discussion. Your participation is essential—for both your own learning and that of other students. Because Strategy Formulation is a case-based course, much of the learning will take place in our collective discussion of the business cases. We expect that every student will arrive well prepared and able to answer the day’s assignment questions. In our experience, it is helpful to meet in study groups to discuss the case and the assignment questions before class.</w:t>
      </w:r>
    </w:p>
    <w:p w14:paraId="44677974" w14:textId="77777777" w:rsidR="000D24A7" w:rsidRPr="000D24A7" w:rsidRDefault="000D24A7" w:rsidP="000D24A7">
      <w:r w:rsidRPr="000D24A7">
        <w:t>The best class comments:</w:t>
      </w:r>
    </w:p>
    <w:p w14:paraId="50AB2CC8" w14:textId="77777777" w:rsidR="000D24A7" w:rsidRPr="000D24A7" w:rsidRDefault="000D24A7" w:rsidP="000D24A7">
      <w:pPr>
        <w:numPr>
          <w:ilvl w:val="0"/>
          <w:numId w:val="5"/>
        </w:numPr>
      </w:pPr>
      <w:r w:rsidRPr="000D24A7">
        <w:t xml:space="preserve">Make or raise issues that are relevant to the current focus of the class </w:t>
      </w:r>
    </w:p>
    <w:p w14:paraId="51E1E619" w14:textId="77777777" w:rsidR="000D24A7" w:rsidRPr="000D24A7" w:rsidRDefault="000D24A7" w:rsidP="000D24A7">
      <w:pPr>
        <w:numPr>
          <w:ilvl w:val="0"/>
          <w:numId w:val="5"/>
        </w:numPr>
      </w:pPr>
      <w:r w:rsidRPr="000D24A7">
        <w:t xml:space="preserve">Show curiosity and a willingness to experiment </w:t>
      </w:r>
    </w:p>
    <w:p w14:paraId="62452712" w14:textId="77777777" w:rsidR="000D24A7" w:rsidRPr="000D24A7" w:rsidRDefault="000D24A7" w:rsidP="000D24A7">
      <w:pPr>
        <w:numPr>
          <w:ilvl w:val="0"/>
          <w:numId w:val="5"/>
        </w:numPr>
      </w:pPr>
      <w:r w:rsidRPr="000D24A7">
        <w:t xml:space="preserve">Use data or examples to support conclusions </w:t>
      </w:r>
    </w:p>
    <w:p w14:paraId="11F8BD27" w14:textId="77777777" w:rsidR="000D24A7" w:rsidRPr="000D24A7" w:rsidRDefault="000D24A7" w:rsidP="000D24A7">
      <w:pPr>
        <w:numPr>
          <w:ilvl w:val="0"/>
          <w:numId w:val="5"/>
        </w:numPr>
      </w:pPr>
      <w:r w:rsidRPr="000D24A7">
        <w:t xml:space="preserve">Take into consideration the ideas offered by others </w:t>
      </w:r>
    </w:p>
    <w:p w14:paraId="0E7D2BF5" w14:textId="77777777" w:rsidR="000D24A7" w:rsidRPr="000D24A7" w:rsidRDefault="000D24A7" w:rsidP="000D24A7">
      <w:pPr>
        <w:numPr>
          <w:ilvl w:val="0"/>
          <w:numId w:val="5"/>
        </w:numPr>
      </w:pPr>
      <w:r w:rsidRPr="000D24A7">
        <w:t xml:space="preserve">Offer support for arguments </w:t>
      </w:r>
    </w:p>
    <w:p w14:paraId="2577F058" w14:textId="66830CC4" w:rsidR="007351EB" w:rsidRDefault="000D24A7" w:rsidP="000D24A7">
      <w:pPr>
        <w:numPr>
          <w:ilvl w:val="0"/>
          <w:numId w:val="5"/>
        </w:numPr>
      </w:pPr>
      <w:r w:rsidRPr="000D24A7">
        <w:t>Help others</w:t>
      </w:r>
      <w:r w:rsidR="007351EB">
        <w:t xml:space="preserve"> feel safe about participating</w:t>
      </w:r>
    </w:p>
    <w:p w14:paraId="730BFE9D" w14:textId="7B554E87" w:rsidR="000D24A7" w:rsidRPr="000D24A7" w:rsidRDefault="000D24A7" w:rsidP="000D24A7">
      <w:pPr>
        <w:numPr>
          <w:ilvl w:val="0"/>
          <w:numId w:val="5"/>
        </w:numPr>
      </w:pPr>
      <w:r w:rsidRPr="000D24A7">
        <w:t xml:space="preserve">It is essential that you participate often enough so that </w:t>
      </w:r>
      <w:r w:rsidR="008669F9">
        <w:t>I</w:t>
      </w:r>
      <w:r w:rsidRPr="000D24A7">
        <w:t xml:space="preserve"> can assess the quality of your thinking. Once you pass a certain quantity threshold, your participation grade hinges solely on quality. </w:t>
      </w:r>
    </w:p>
    <w:p w14:paraId="2E33B81C" w14:textId="77777777" w:rsidR="000D24A7" w:rsidRPr="000D24A7" w:rsidRDefault="000D24A7" w:rsidP="009D4808">
      <w:pPr>
        <w:pStyle w:val="Heading3"/>
      </w:pPr>
      <w:r w:rsidRPr="000D24A7">
        <w:t>2. Midterm Group Project</w:t>
      </w:r>
    </w:p>
    <w:p w14:paraId="112AD361" w14:textId="0781FDBE" w:rsidR="000D24A7" w:rsidRPr="000D24A7" w:rsidRDefault="000D24A7" w:rsidP="000D24A7">
      <w:r w:rsidRPr="000D24A7">
        <w:t xml:space="preserve">The midterm project will be a group write-up of the </w:t>
      </w:r>
      <w:r w:rsidR="00710C03" w:rsidRPr="00496FE2">
        <w:rPr>
          <w:i/>
        </w:rPr>
        <w:t>Samsung Electronics</w:t>
      </w:r>
      <w:r w:rsidRPr="000D24A7">
        <w:t xml:space="preserve"> case, due in </w:t>
      </w:r>
      <w:r w:rsidR="008669F9">
        <w:t xml:space="preserve">electronic format </w:t>
      </w:r>
      <w:r w:rsidR="00DB24A0">
        <w:t>by the end of</w:t>
      </w:r>
      <w:r w:rsidR="0075631A">
        <w:t xml:space="preserve"> </w:t>
      </w:r>
      <w:r w:rsidR="0075631A" w:rsidRPr="009621A1">
        <w:rPr>
          <w:b/>
        </w:rPr>
        <w:t>Sunday, January 29, 2017</w:t>
      </w:r>
      <w:r w:rsidRPr="00DB24A0">
        <w:t>.</w:t>
      </w:r>
      <w:r w:rsidRPr="000D24A7">
        <w:t xml:space="preserve"> You will be asked to prepare a 5-page response to the case discussion questions listed in CANVAS with your study group members.</w:t>
      </w:r>
      <w:r w:rsidR="007351EB" w:rsidRPr="007351EB">
        <w:t xml:space="preserve"> </w:t>
      </w:r>
      <w:r w:rsidR="008669F9">
        <w:t>The c</w:t>
      </w:r>
      <w:r w:rsidR="007351EB" w:rsidRPr="007351EB">
        <w:t xml:space="preserve">ase questions will be posted </w:t>
      </w:r>
      <w:r w:rsidR="008669F9">
        <w:t xml:space="preserve">in CANVAS </w:t>
      </w:r>
      <w:r w:rsidR="007351EB" w:rsidRPr="007351EB">
        <w:t xml:space="preserve">by </w:t>
      </w:r>
      <w:r w:rsidR="00EA4C1D">
        <w:t>the end of the first week of class</w:t>
      </w:r>
      <w:r w:rsidR="008669F9">
        <w:t>.</w:t>
      </w:r>
    </w:p>
    <w:p w14:paraId="64717AA5" w14:textId="77777777" w:rsidR="000D24A7" w:rsidRPr="000D24A7" w:rsidRDefault="000D24A7" w:rsidP="009D4808">
      <w:pPr>
        <w:pStyle w:val="Heading3"/>
      </w:pPr>
      <w:r w:rsidRPr="000D24A7">
        <w:t>3. Final Exam</w:t>
      </w:r>
    </w:p>
    <w:p w14:paraId="707AE63A" w14:textId="4B36D711" w:rsidR="000D24A7" w:rsidRPr="000D24A7" w:rsidRDefault="008669F9" w:rsidP="000D24A7">
      <w:r w:rsidRPr="008669F9">
        <w:t>The final exam is based on a case. It is a</w:t>
      </w:r>
      <w:r>
        <w:t>n</w:t>
      </w:r>
      <w:r w:rsidRPr="008669F9">
        <w:t xml:space="preserve"> open book exam. Hence, you are welcome to refer to </w:t>
      </w:r>
      <w:r>
        <w:t xml:space="preserve">the course reader and your </w:t>
      </w:r>
      <w:r w:rsidRPr="008669F9">
        <w:t xml:space="preserve">notes during the exam. You will take the exam at home. The exam is due </w:t>
      </w:r>
      <w:r w:rsidR="00DB24A0">
        <w:t xml:space="preserve">by the end of </w:t>
      </w:r>
      <w:r w:rsidR="0075631A">
        <w:rPr>
          <w:b/>
        </w:rPr>
        <w:t>Sunday, February 19, 2017</w:t>
      </w:r>
      <w:r w:rsidRPr="008669F9">
        <w:t>.</w:t>
      </w:r>
    </w:p>
    <w:p w14:paraId="35DF3A8E" w14:textId="77777777" w:rsidR="000D24A7" w:rsidRPr="000D24A7" w:rsidRDefault="000D24A7" w:rsidP="009D4808">
      <w:pPr>
        <w:pStyle w:val="Heading3"/>
      </w:pPr>
      <w:r w:rsidRPr="000D24A7">
        <w:t>4. Absence – Sharing Materials</w:t>
      </w:r>
    </w:p>
    <w:p w14:paraId="4FD61A40" w14:textId="662A9EB0" w:rsidR="000D24A7" w:rsidRPr="000D24A7" w:rsidRDefault="000D24A7" w:rsidP="000D24A7">
      <w:r w:rsidRPr="000D24A7">
        <w:lastRenderedPageBreak/>
        <w:t xml:space="preserve">If you cannot attend class due to unavoidable circumstances, </w:t>
      </w:r>
      <w:r w:rsidR="008669F9">
        <w:t>I</w:t>
      </w:r>
      <w:r w:rsidRPr="000D24A7">
        <w:t xml:space="preserve"> expect you to send your instructor an email </w:t>
      </w:r>
      <w:r w:rsidRPr="000D24A7">
        <w:rPr>
          <w:i/>
          <w:iCs/>
        </w:rPr>
        <w:t xml:space="preserve">prior </w:t>
      </w:r>
      <w:r w:rsidRPr="000D24A7">
        <w:t xml:space="preserve">to class, notifying him of your absence. Please note that any unexcused absences will </w:t>
      </w:r>
      <w:r w:rsidRPr="000D24A7">
        <w:rPr>
          <w:i/>
          <w:iCs/>
        </w:rPr>
        <w:t xml:space="preserve">significantly </w:t>
      </w:r>
      <w:r w:rsidRPr="000D24A7">
        <w:t>impact your overall grade for the course.</w:t>
      </w:r>
    </w:p>
    <w:p w14:paraId="6BE26B31" w14:textId="5E2FA21B" w:rsidR="000A1ED8" w:rsidRPr="00535F4E" w:rsidRDefault="008669F9" w:rsidP="00535F4E">
      <w:r>
        <w:t>I</w:t>
      </w:r>
      <w:r w:rsidR="000D24A7" w:rsidRPr="000D24A7">
        <w:t xml:space="preserve"> encourage students who had to miss a session to ask their classmates for notes and lecture slides. However, it is considered an honor code violation to consult any materials from past sections of Strategy Formulation. Similarly, you must not share class materials with future students.</w:t>
      </w:r>
    </w:p>
    <w:p w14:paraId="68372099" w14:textId="0BA59E60" w:rsidR="00891FFA" w:rsidRDefault="008669F9" w:rsidP="009D4808">
      <w:pPr>
        <w:pStyle w:val="Heading2"/>
      </w:pPr>
      <w:r>
        <w:t>COLUMBIA CORE CULTURE</w:t>
      </w:r>
    </w:p>
    <w:p w14:paraId="25EA79B5" w14:textId="77777777" w:rsidR="0063563F" w:rsidRDefault="00F62F05" w:rsidP="00F62F05">
      <w:r w:rsidRPr="00F62F05">
        <w:t xml:space="preserve">The purpose of the </w:t>
      </w:r>
      <w:r>
        <w:t>Columbia Core Culture</w:t>
      </w:r>
      <w:r w:rsidRPr="00F62F05">
        <w:t xml:space="preserve"> is to promote a c</w:t>
      </w:r>
      <w:r>
        <w:t>onsistent c</w:t>
      </w:r>
      <w:r w:rsidRPr="00F62F05">
        <w:t>lassroom environment of mutual respect, preparation and engagement.</w:t>
      </w:r>
      <w:r>
        <w:t xml:space="preserve">  </w:t>
      </w:r>
      <w:r w:rsidR="000A1ED8">
        <w:t xml:space="preserve">Our expectation of </w:t>
      </w:r>
      <w:r w:rsidR="00E00273">
        <w:t>you in class is to be:</w:t>
      </w:r>
      <w:r w:rsidR="000A1ED8">
        <w:t xml:space="preserve">  </w:t>
      </w:r>
    </w:p>
    <w:p w14:paraId="2F4BCC5A" w14:textId="77777777" w:rsidR="000A1ED8" w:rsidRDefault="00E00273" w:rsidP="00F62F05">
      <w:r>
        <w:rPr>
          <w:b/>
        </w:rPr>
        <w:t>Present</w:t>
      </w:r>
      <w:r w:rsidR="00F62F05" w:rsidRPr="000A1ED8">
        <w:rPr>
          <w:b/>
        </w:rPr>
        <w:t>:</w:t>
      </w:r>
      <w:r w:rsidR="00F62F05">
        <w:t xml:space="preserve">  Your success depends on being </w:t>
      </w:r>
      <w:r w:rsidR="000A1ED8">
        <w:t xml:space="preserve">on time </w:t>
      </w:r>
      <w:r w:rsidR="003B55EF">
        <w:t xml:space="preserve">and present </w:t>
      </w:r>
      <w:r w:rsidR="000A1ED8">
        <w:t xml:space="preserve">for the entire class every session.  </w:t>
      </w:r>
      <w:r w:rsidR="003B55EF" w:rsidRPr="003B55EF">
        <w:t>Attendance will be part of your grade for class participation</w:t>
      </w:r>
      <w:r w:rsidR="003B55EF">
        <w:t xml:space="preserve"> </w:t>
      </w:r>
      <w:r w:rsidR="000A1ED8">
        <w:t xml:space="preserve">and students are expected to sit in their assigned seats.  </w:t>
      </w:r>
    </w:p>
    <w:p w14:paraId="09EB69FF" w14:textId="77777777" w:rsidR="003B55EF" w:rsidRDefault="00E00273" w:rsidP="00F62F05">
      <w:r>
        <w:rPr>
          <w:b/>
        </w:rPr>
        <w:t>Prepared</w:t>
      </w:r>
      <w:r w:rsidR="000A1ED8" w:rsidRPr="000A1ED8">
        <w:rPr>
          <w:b/>
        </w:rPr>
        <w:t>:</w:t>
      </w:r>
      <w:r w:rsidR="000A1ED8">
        <w:t xml:space="preserve">  </w:t>
      </w:r>
      <w:r w:rsidR="003B55EF">
        <w:t>Bring</w:t>
      </w:r>
      <w:r w:rsidR="000A1ED8">
        <w:t xml:space="preserve"> </w:t>
      </w:r>
      <w:r w:rsidR="003B55EF">
        <w:t>your nameplate, clicker, and</w:t>
      </w:r>
      <w:r w:rsidR="000A1ED8">
        <w:t xml:space="preserve"> complet</w:t>
      </w:r>
      <w:r w:rsidR="003B55EF">
        <w:t>e</w:t>
      </w:r>
      <w:r w:rsidR="000A1ED8">
        <w:t xml:space="preserve"> any pre-work needed for class discussion.  </w:t>
      </w:r>
      <w:r w:rsidR="003B55EF" w:rsidRPr="003B55EF">
        <w:t xml:space="preserve">Expect the professor to cold call in class.  </w:t>
      </w:r>
    </w:p>
    <w:p w14:paraId="274E1230" w14:textId="77777777" w:rsidR="00F62F05" w:rsidRDefault="000667DE" w:rsidP="00F62F05">
      <w:r>
        <w:rPr>
          <w:b/>
        </w:rPr>
        <w:t>Participat</w:t>
      </w:r>
      <w:r w:rsidR="00E00273">
        <w:rPr>
          <w:b/>
        </w:rPr>
        <w:t>ing</w:t>
      </w:r>
      <w:r w:rsidR="000A1ED8" w:rsidRPr="000A1ED8">
        <w:rPr>
          <w:b/>
        </w:rPr>
        <w:t>:</w:t>
      </w:r>
      <w:r w:rsidR="000A1ED8">
        <w:t xml:space="preserve">  </w:t>
      </w:r>
      <w:r w:rsidR="003B55EF" w:rsidRPr="003B55EF">
        <w:t xml:space="preserve">Active participation calls for no electronic devices such as laptops, tablet computers, or smartphones during class, except when the professor tells you as part of in-class work.  </w:t>
      </w:r>
    </w:p>
    <w:p w14:paraId="5430C929" w14:textId="77777777" w:rsidR="000D24A7" w:rsidRPr="000D24A7" w:rsidRDefault="000D24A7" w:rsidP="009D4808">
      <w:pPr>
        <w:pStyle w:val="Heading2"/>
      </w:pPr>
      <w:r w:rsidRPr="000D24A7">
        <w:t>CLASS PREPARATION</w:t>
      </w:r>
    </w:p>
    <w:p w14:paraId="6EA207A1" w14:textId="65BE8092" w:rsidR="000D24A7" w:rsidRPr="000D24A7" w:rsidRDefault="000D24A7" w:rsidP="000D24A7">
      <w:r w:rsidRPr="000D24A7">
        <w:t xml:space="preserve">This is a </w:t>
      </w:r>
      <w:proofErr w:type="gramStart"/>
      <w:r w:rsidRPr="000D24A7">
        <w:t>fairly intensive</w:t>
      </w:r>
      <w:proofErr w:type="gramEnd"/>
      <w:r w:rsidRPr="000D24A7">
        <w:t xml:space="preserve"> course. </w:t>
      </w:r>
      <w:r w:rsidR="008669F9">
        <w:t>I</w:t>
      </w:r>
      <w:r w:rsidRPr="000D24A7">
        <w:t xml:space="preserve"> encourage group work throughout the course, particularly when working through the assignment questions for the day. Strategy is an analytical course and your preparation should reflect that fact. In preparing for strategy classes, </w:t>
      </w:r>
      <w:r w:rsidR="008669F9">
        <w:t>I</w:t>
      </w:r>
      <w:r w:rsidRPr="000D24A7">
        <w:t xml:space="preserve"> strongly recommend that you </w:t>
      </w:r>
      <w:r w:rsidRPr="000D24A7">
        <w:rPr>
          <w:b/>
          <w:bCs/>
        </w:rPr>
        <w:t>first read the notes for the module, then read the assignment questions, and finish with the case study</w:t>
      </w:r>
      <w:r w:rsidRPr="000D24A7">
        <w:t>. The module notes and assignment questions will help you focus on the aspects of the case that we will be debating in class discussions.</w:t>
      </w:r>
    </w:p>
    <w:p w14:paraId="590B8E3E" w14:textId="4E3967F5" w:rsidR="000D24A7" w:rsidRPr="000D24A7" w:rsidRDefault="008669F9" w:rsidP="000D24A7">
      <w:r>
        <w:t>B</w:t>
      </w:r>
      <w:r w:rsidR="000D24A7" w:rsidRPr="000D24A7">
        <w:t>e prepared to answer any questions regarding the details of the case, and to articulate your opinions about the assignment questions.</w:t>
      </w:r>
    </w:p>
    <w:p w14:paraId="2B5CC9F3" w14:textId="77777777" w:rsidR="000D24A7" w:rsidRDefault="000D24A7" w:rsidP="00F62F05"/>
    <w:p w14:paraId="6BB97E12" w14:textId="77777777" w:rsidR="008669F9" w:rsidRDefault="008669F9" w:rsidP="00F62F05"/>
    <w:p w14:paraId="46267765" w14:textId="77777777" w:rsidR="008669F9" w:rsidRDefault="008669F9" w:rsidP="00F62F05"/>
    <w:p w14:paraId="4CBF2519" w14:textId="77777777" w:rsidR="008669F9" w:rsidRDefault="008669F9" w:rsidP="00F62F05"/>
    <w:p w14:paraId="5BFF0DE4" w14:textId="77777777" w:rsidR="008669F9" w:rsidRDefault="008669F9" w:rsidP="00F62F05"/>
    <w:p w14:paraId="62C4CD8D" w14:textId="77777777" w:rsidR="008669F9" w:rsidRDefault="008669F9" w:rsidP="00F62F05"/>
    <w:p w14:paraId="21BC388F" w14:textId="77777777" w:rsidR="000D24A7" w:rsidRDefault="000D24A7" w:rsidP="00F62F05"/>
    <w:p w14:paraId="4CD29227" w14:textId="77777777" w:rsidR="000D24A7" w:rsidRDefault="002E4552" w:rsidP="009D4808">
      <w:pPr>
        <w:pStyle w:val="Heading2"/>
      </w:pPr>
      <w:r w:rsidRPr="000D24A7">
        <w:t xml:space="preserve">CLASS </w:t>
      </w:r>
      <w:r>
        <w:t>SESSIONS</w:t>
      </w:r>
    </w:p>
    <w:tbl>
      <w:tblPr>
        <w:tblW w:w="10601" w:type="dxa"/>
        <w:jc w:val="center"/>
        <w:tblLayout w:type="fixed"/>
        <w:tblCellMar>
          <w:left w:w="57" w:type="dxa"/>
          <w:right w:w="57" w:type="dxa"/>
        </w:tblCellMar>
        <w:tblLook w:val="04A0" w:firstRow="1" w:lastRow="0" w:firstColumn="1" w:lastColumn="0" w:noHBand="0" w:noVBand="1"/>
      </w:tblPr>
      <w:tblGrid>
        <w:gridCol w:w="907"/>
        <w:gridCol w:w="1020"/>
        <w:gridCol w:w="1247"/>
        <w:gridCol w:w="1928"/>
        <w:gridCol w:w="5499"/>
      </w:tblGrid>
      <w:tr w:rsidR="00FC5DB6" w:rsidRPr="009D4808" w14:paraId="0EFA4F61" w14:textId="77777777" w:rsidTr="008E5B48">
        <w:trPr>
          <w:trHeight w:val="240"/>
          <w:jc w:val="center"/>
        </w:trPr>
        <w:tc>
          <w:tcPr>
            <w:tcW w:w="907" w:type="dxa"/>
            <w:tcBorders>
              <w:top w:val="nil"/>
              <w:left w:val="nil"/>
              <w:bottom w:val="single" w:sz="4" w:space="0" w:color="auto"/>
              <w:right w:val="nil"/>
            </w:tcBorders>
            <w:shd w:val="clear" w:color="auto" w:fill="auto"/>
            <w:noWrap/>
            <w:vAlign w:val="center"/>
            <w:hideMark/>
          </w:tcPr>
          <w:p w14:paraId="453DB198" w14:textId="77777777" w:rsidR="001A5312" w:rsidRPr="009D4808" w:rsidRDefault="001A5312" w:rsidP="00A85469">
            <w:pPr>
              <w:pStyle w:val="NoSpacing"/>
              <w:jc w:val="center"/>
            </w:pPr>
            <w:r w:rsidRPr="009D4808">
              <w:lastRenderedPageBreak/>
              <w:t>Session</w:t>
            </w:r>
          </w:p>
        </w:tc>
        <w:tc>
          <w:tcPr>
            <w:tcW w:w="1020" w:type="dxa"/>
            <w:tcBorders>
              <w:top w:val="nil"/>
              <w:left w:val="nil"/>
              <w:bottom w:val="single" w:sz="4" w:space="0" w:color="auto"/>
              <w:right w:val="nil"/>
            </w:tcBorders>
            <w:shd w:val="clear" w:color="auto" w:fill="auto"/>
            <w:noWrap/>
            <w:vAlign w:val="center"/>
            <w:hideMark/>
          </w:tcPr>
          <w:p w14:paraId="6AD2DC5F" w14:textId="78785781" w:rsidR="001A5312" w:rsidRPr="009D4808" w:rsidRDefault="00A36225" w:rsidP="00A85469">
            <w:pPr>
              <w:pStyle w:val="NoSpacing"/>
              <w:jc w:val="center"/>
            </w:pPr>
            <w:r>
              <w:t>When</w:t>
            </w:r>
          </w:p>
        </w:tc>
        <w:tc>
          <w:tcPr>
            <w:tcW w:w="1247" w:type="dxa"/>
            <w:tcBorders>
              <w:top w:val="nil"/>
              <w:left w:val="nil"/>
              <w:bottom w:val="single" w:sz="4" w:space="0" w:color="auto"/>
              <w:right w:val="nil"/>
            </w:tcBorders>
            <w:shd w:val="clear" w:color="auto" w:fill="auto"/>
            <w:noWrap/>
            <w:vAlign w:val="center"/>
            <w:hideMark/>
          </w:tcPr>
          <w:p w14:paraId="365D25A5" w14:textId="77777777" w:rsidR="001A5312" w:rsidRPr="009D4808" w:rsidRDefault="001A5312" w:rsidP="00A85469">
            <w:pPr>
              <w:pStyle w:val="NoSpacing"/>
              <w:jc w:val="center"/>
            </w:pPr>
            <w:r w:rsidRPr="009D4808">
              <w:t>Module</w:t>
            </w:r>
          </w:p>
        </w:tc>
        <w:tc>
          <w:tcPr>
            <w:tcW w:w="1928" w:type="dxa"/>
            <w:tcBorders>
              <w:top w:val="nil"/>
              <w:left w:val="nil"/>
              <w:bottom w:val="single" w:sz="4" w:space="0" w:color="auto"/>
              <w:right w:val="nil"/>
            </w:tcBorders>
            <w:shd w:val="clear" w:color="auto" w:fill="auto"/>
            <w:vAlign w:val="center"/>
            <w:hideMark/>
          </w:tcPr>
          <w:p w14:paraId="2E79EB9B" w14:textId="77777777" w:rsidR="001A5312" w:rsidRPr="009D4808" w:rsidRDefault="001A5312" w:rsidP="00A85469">
            <w:pPr>
              <w:pStyle w:val="NoSpacing"/>
              <w:jc w:val="center"/>
            </w:pPr>
            <w:r w:rsidRPr="009D4808">
              <w:t>Key Concepts</w:t>
            </w:r>
          </w:p>
        </w:tc>
        <w:tc>
          <w:tcPr>
            <w:tcW w:w="5499" w:type="dxa"/>
            <w:tcBorders>
              <w:top w:val="nil"/>
              <w:left w:val="nil"/>
              <w:bottom w:val="single" w:sz="4" w:space="0" w:color="auto"/>
              <w:right w:val="nil"/>
            </w:tcBorders>
            <w:shd w:val="clear" w:color="auto" w:fill="auto"/>
            <w:vAlign w:val="center"/>
            <w:hideMark/>
          </w:tcPr>
          <w:p w14:paraId="165069C9" w14:textId="77CF66E1" w:rsidR="001A5312" w:rsidRPr="009D4808" w:rsidRDefault="001A5312" w:rsidP="009D4808">
            <w:pPr>
              <w:pStyle w:val="NoSpacing"/>
            </w:pPr>
            <w:r w:rsidRPr="009D4808">
              <w:t>Cases and readings</w:t>
            </w:r>
          </w:p>
        </w:tc>
      </w:tr>
      <w:tr w:rsidR="00FC5DB6" w:rsidRPr="009D4808" w14:paraId="39CE34F5" w14:textId="77777777" w:rsidTr="008E5B48">
        <w:trPr>
          <w:trHeight w:val="240"/>
          <w:jc w:val="center"/>
        </w:trPr>
        <w:tc>
          <w:tcPr>
            <w:tcW w:w="907" w:type="dxa"/>
            <w:tcBorders>
              <w:top w:val="nil"/>
              <w:left w:val="nil"/>
              <w:right w:val="nil"/>
            </w:tcBorders>
            <w:shd w:val="clear" w:color="auto" w:fill="auto"/>
            <w:noWrap/>
            <w:vAlign w:val="center"/>
            <w:hideMark/>
          </w:tcPr>
          <w:p w14:paraId="33C401FF" w14:textId="77777777" w:rsidR="001A5312" w:rsidRPr="009D4808" w:rsidRDefault="001A5312" w:rsidP="00A85469">
            <w:pPr>
              <w:pStyle w:val="NoSpacing"/>
              <w:jc w:val="center"/>
            </w:pPr>
          </w:p>
        </w:tc>
        <w:tc>
          <w:tcPr>
            <w:tcW w:w="1020" w:type="dxa"/>
            <w:tcBorders>
              <w:top w:val="nil"/>
              <w:left w:val="nil"/>
              <w:right w:val="nil"/>
            </w:tcBorders>
            <w:shd w:val="clear" w:color="auto" w:fill="auto"/>
            <w:noWrap/>
            <w:vAlign w:val="center"/>
            <w:hideMark/>
          </w:tcPr>
          <w:p w14:paraId="018D719A" w14:textId="77777777" w:rsidR="001A5312" w:rsidRPr="009D4808" w:rsidRDefault="001A5312" w:rsidP="00A85469">
            <w:pPr>
              <w:pStyle w:val="NoSpacing"/>
              <w:jc w:val="center"/>
            </w:pPr>
          </w:p>
        </w:tc>
        <w:tc>
          <w:tcPr>
            <w:tcW w:w="1247" w:type="dxa"/>
            <w:tcBorders>
              <w:top w:val="nil"/>
              <w:left w:val="nil"/>
              <w:right w:val="nil"/>
            </w:tcBorders>
            <w:shd w:val="clear" w:color="auto" w:fill="auto"/>
            <w:noWrap/>
            <w:vAlign w:val="center"/>
            <w:hideMark/>
          </w:tcPr>
          <w:p w14:paraId="2A4BCBE2" w14:textId="77777777" w:rsidR="001A5312" w:rsidRPr="009D4808" w:rsidRDefault="001A5312" w:rsidP="00A85469">
            <w:pPr>
              <w:pStyle w:val="NoSpacing"/>
              <w:jc w:val="center"/>
            </w:pPr>
          </w:p>
        </w:tc>
        <w:tc>
          <w:tcPr>
            <w:tcW w:w="1928" w:type="dxa"/>
            <w:tcBorders>
              <w:top w:val="nil"/>
              <w:left w:val="nil"/>
              <w:right w:val="nil"/>
            </w:tcBorders>
            <w:shd w:val="clear" w:color="auto" w:fill="auto"/>
            <w:vAlign w:val="center"/>
            <w:hideMark/>
          </w:tcPr>
          <w:p w14:paraId="38D953A7" w14:textId="77777777" w:rsidR="001A5312" w:rsidRPr="009D4808" w:rsidRDefault="001A5312" w:rsidP="00A85469">
            <w:pPr>
              <w:pStyle w:val="NoSpacing"/>
              <w:jc w:val="center"/>
            </w:pPr>
          </w:p>
        </w:tc>
        <w:tc>
          <w:tcPr>
            <w:tcW w:w="5499" w:type="dxa"/>
            <w:tcBorders>
              <w:top w:val="nil"/>
              <w:left w:val="nil"/>
              <w:right w:val="nil"/>
            </w:tcBorders>
            <w:shd w:val="clear" w:color="auto" w:fill="auto"/>
            <w:vAlign w:val="center"/>
            <w:hideMark/>
          </w:tcPr>
          <w:p w14:paraId="046AF5A4" w14:textId="77777777" w:rsidR="001A5312" w:rsidRPr="009D4808" w:rsidRDefault="001A5312" w:rsidP="009D4808">
            <w:pPr>
              <w:pStyle w:val="NoSpacing"/>
            </w:pPr>
          </w:p>
        </w:tc>
      </w:tr>
      <w:tr w:rsidR="006865F9" w:rsidRPr="009D4808" w14:paraId="2CD4A2AB" w14:textId="77777777" w:rsidTr="008E5B48">
        <w:trPr>
          <w:trHeight w:val="964"/>
          <w:jc w:val="center"/>
        </w:trPr>
        <w:tc>
          <w:tcPr>
            <w:tcW w:w="907" w:type="dxa"/>
            <w:tcBorders>
              <w:top w:val="nil"/>
              <w:left w:val="nil"/>
              <w:right w:val="nil"/>
            </w:tcBorders>
            <w:shd w:val="clear" w:color="auto" w:fill="auto"/>
            <w:noWrap/>
            <w:vAlign w:val="center"/>
            <w:hideMark/>
          </w:tcPr>
          <w:p w14:paraId="36D26DBA" w14:textId="77777777" w:rsidR="006865F9" w:rsidRPr="009D4808" w:rsidRDefault="006865F9" w:rsidP="00A85469">
            <w:pPr>
              <w:pStyle w:val="NoSpacing"/>
              <w:jc w:val="center"/>
            </w:pPr>
            <w:r w:rsidRPr="009D4808">
              <w:t>1</w:t>
            </w:r>
          </w:p>
        </w:tc>
        <w:tc>
          <w:tcPr>
            <w:tcW w:w="1020" w:type="dxa"/>
            <w:tcBorders>
              <w:top w:val="nil"/>
              <w:left w:val="nil"/>
              <w:right w:val="nil"/>
            </w:tcBorders>
            <w:shd w:val="clear" w:color="auto" w:fill="auto"/>
            <w:noWrap/>
            <w:vAlign w:val="center"/>
            <w:hideMark/>
          </w:tcPr>
          <w:p w14:paraId="41C8406D" w14:textId="3F9565CA" w:rsidR="006865F9" w:rsidRPr="009D4808" w:rsidRDefault="008E5B48" w:rsidP="00A85469">
            <w:pPr>
              <w:pStyle w:val="NoSpacing"/>
              <w:jc w:val="center"/>
            </w:pPr>
            <w:r>
              <w:t>First week</w:t>
            </w:r>
          </w:p>
        </w:tc>
        <w:tc>
          <w:tcPr>
            <w:tcW w:w="1247" w:type="dxa"/>
            <w:tcBorders>
              <w:top w:val="nil"/>
              <w:left w:val="nil"/>
              <w:right w:val="nil"/>
            </w:tcBorders>
            <w:shd w:val="clear" w:color="auto" w:fill="auto"/>
            <w:noWrap/>
            <w:vAlign w:val="center"/>
            <w:hideMark/>
          </w:tcPr>
          <w:p w14:paraId="3A5C76DB" w14:textId="6BD5B655" w:rsidR="006865F9" w:rsidRPr="009D4808" w:rsidRDefault="006865F9" w:rsidP="00A85469">
            <w:pPr>
              <w:pStyle w:val="NoSpacing"/>
              <w:jc w:val="center"/>
            </w:pPr>
            <w:r w:rsidRPr="009D4808">
              <w:t>Competitive Advantage</w:t>
            </w:r>
          </w:p>
        </w:tc>
        <w:tc>
          <w:tcPr>
            <w:tcW w:w="1928" w:type="dxa"/>
            <w:tcBorders>
              <w:top w:val="nil"/>
              <w:left w:val="nil"/>
              <w:right w:val="nil"/>
            </w:tcBorders>
            <w:shd w:val="clear" w:color="auto" w:fill="auto"/>
            <w:vAlign w:val="center"/>
            <w:hideMark/>
          </w:tcPr>
          <w:p w14:paraId="1F31E850" w14:textId="4B41F5E5" w:rsidR="006865F9" w:rsidRDefault="006865F9" w:rsidP="00A85469">
            <w:pPr>
              <w:pStyle w:val="NoSpacing"/>
              <w:jc w:val="center"/>
            </w:pPr>
            <w:r>
              <w:t>What is strategy?</w:t>
            </w:r>
          </w:p>
          <w:p w14:paraId="147A2497" w14:textId="77777777" w:rsidR="006865F9" w:rsidRDefault="006865F9" w:rsidP="00E20C82">
            <w:pPr>
              <w:pStyle w:val="NoSpacing"/>
              <w:jc w:val="center"/>
            </w:pPr>
            <w:r w:rsidRPr="009D4808">
              <w:t>Cost leadership</w:t>
            </w:r>
          </w:p>
          <w:p w14:paraId="0848808F" w14:textId="55091236" w:rsidR="000855A9" w:rsidRPr="009D4808" w:rsidRDefault="000855A9" w:rsidP="000855A9">
            <w:pPr>
              <w:pStyle w:val="NoSpacing"/>
              <w:jc w:val="center"/>
            </w:pPr>
            <w:r w:rsidRPr="009D4808">
              <w:t>Differentiation</w:t>
            </w:r>
          </w:p>
        </w:tc>
        <w:tc>
          <w:tcPr>
            <w:tcW w:w="5499" w:type="dxa"/>
            <w:tcBorders>
              <w:top w:val="nil"/>
              <w:left w:val="nil"/>
              <w:right w:val="nil"/>
            </w:tcBorders>
            <w:shd w:val="clear" w:color="auto" w:fill="auto"/>
            <w:vAlign w:val="center"/>
            <w:hideMark/>
          </w:tcPr>
          <w:p w14:paraId="2A076613" w14:textId="7E357785" w:rsidR="006865F9" w:rsidRDefault="006865F9" w:rsidP="009D4808">
            <w:pPr>
              <w:pStyle w:val="NoSpacing"/>
              <w:numPr>
                <w:ilvl w:val="0"/>
                <w:numId w:val="7"/>
              </w:numPr>
            </w:pPr>
            <w:r w:rsidRPr="00496FE2">
              <w:t>Strategy Formulation and Competitive Advantage</w:t>
            </w:r>
          </w:p>
          <w:p w14:paraId="5D3C1104" w14:textId="77777777" w:rsidR="006865F9" w:rsidRDefault="006865F9" w:rsidP="00E20C82">
            <w:pPr>
              <w:pStyle w:val="NoSpacing"/>
              <w:numPr>
                <w:ilvl w:val="0"/>
                <w:numId w:val="7"/>
              </w:numPr>
            </w:pPr>
            <w:r w:rsidRPr="00496FE2">
              <w:t>Walmart: In Search of Renewed Growth</w:t>
            </w:r>
          </w:p>
          <w:p w14:paraId="6078AEFC" w14:textId="137C9606" w:rsidR="00D8309D" w:rsidRPr="009D4808" w:rsidRDefault="00D8309D" w:rsidP="00D8309D">
            <w:pPr>
              <w:pStyle w:val="NoSpacing"/>
              <w:numPr>
                <w:ilvl w:val="0"/>
                <w:numId w:val="7"/>
              </w:numPr>
            </w:pPr>
            <w:r w:rsidRPr="00D8309D">
              <w:t>Zara: Fast Fashion</w:t>
            </w:r>
          </w:p>
        </w:tc>
      </w:tr>
      <w:tr w:rsidR="006865F9" w:rsidRPr="009D4808" w14:paraId="09B470F4" w14:textId="77777777" w:rsidTr="008E5B48">
        <w:trPr>
          <w:trHeight w:val="964"/>
          <w:jc w:val="center"/>
        </w:trPr>
        <w:tc>
          <w:tcPr>
            <w:tcW w:w="907" w:type="dxa"/>
            <w:tcBorders>
              <w:left w:val="nil"/>
              <w:bottom w:val="nil"/>
              <w:right w:val="nil"/>
            </w:tcBorders>
            <w:shd w:val="clear" w:color="auto" w:fill="auto"/>
            <w:noWrap/>
            <w:vAlign w:val="center"/>
            <w:hideMark/>
          </w:tcPr>
          <w:p w14:paraId="74713F6D" w14:textId="77777777" w:rsidR="006865F9" w:rsidRPr="009D4808" w:rsidRDefault="006865F9" w:rsidP="00A85469">
            <w:pPr>
              <w:pStyle w:val="NoSpacing"/>
              <w:jc w:val="center"/>
            </w:pPr>
            <w:r w:rsidRPr="009D4808">
              <w:t>2</w:t>
            </w:r>
          </w:p>
        </w:tc>
        <w:tc>
          <w:tcPr>
            <w:tcW w:w="1020" w:type="dxa"/>
            <w:tcBorders>
              <w:left w:val="nil"/>
              <w:bottom w:val="nil"/>
              <w:right w:val="nil"/>
            </w:tcBorders>
            <w:shd w:val="clear" w:color="auto" w:fill="auto"/>
            <w:noWrap/>
            <w:vAlign w:val="center"/>
            <w:hideMark/>
          </w:tcPr>
          <w:p w14:paraId="379B397A" w14:textId="0D7AF673" w:rsidR="006865F9" w:rsidRPr="009D4808" w:rsidRDefault="008E5B48" w:rsidP="00A85469">
            <w:pPr>
              <w:pStyle w:val="NoSpacing"/>
              <w:jc w:val="center"/>
            </w:pPr>
            <w:r>
              <w:t>First week</w:t>
            </w:r>
          </w:p>
        </w:tc>
        <w:tc>
          <w:tcPr>
            <w:tcW w:w="1247" w:type="dxa"/>
            <w:tcBorders>
              <w:left w:val="nil"/>
              <w:bottom w:val="nil"/>
              <w:right w:val="nil"/>
            </w:tcBorders>
            <w:shd w:val="clear" w:color="auto" w:fill="auto"/>
            <w:noWrap/>
            <w:vAlign w:val="center"/>
            <w:hideMark/>
          </w:tcPr>
          <w:p w14:paraId="58F8C0FB" w14:textId="77777777" w:rsidR="006865F9" w:rsidRPr="009D4808" w:rsidRDefault="006865F9" w:rsidP="00A85469">
            <w:pPr>
              <w:pStyle w:val="NoSpacing"/>
              <w:jc w:val="center"/>
            </w:pPr>
            <w:r w:rsidRPr="009D4808">
              <w:t>Competitive Advantage</w:t>
            </w:r>
          </w:p>
        </w:tc>
        <w:tc>
          <w:tcPr>
            <w:tcW w:w="1928" w:type="dxa"/>
            <w:tcBorders>
              <w:left w:val="nil"/>
              <w:bottom w:val="nil"/>
              <w:right w:val="nil"/>
            </w:tcBorders>
            <w:shd w:val="clear" w:color="auto" w:fill="auto"/>
            <w:vAlign w:val="center"/>
            <w:hideMark/>
          </w:tcPr>
          <w:p w14:paraId="124A15C9" w14:textId="77777777" w:rsidR="006865F9" w:rsidRDefault="006865F9" w:rsidP="006E4E7F">
            <w:pPr>
              <w:pStyle w:val="NoSpacing"/>
              <w:jc w:val="center"/>
            </w:pPr>
            <w:r w:rsidRPr="009D4808">
              <w:t>Network</w:t>
            </w:r>
            <w:r>
              <w:t xml:space="preserve"> effects</w:t>
            </w:r>
          </w:p>
          <w:p w14:paraId="5A1037D8" w14:textId="3F326868" w:rsidR="000855A9" w:rsidRPr="009D4808" w:rsidRDefault="000855A9" w:rsidP="006E4E7F">
            <w:pPr>
              <w:pStyle w:val="NoSpacing"/>
              <w:jc w:val="center"/>
            </w:pPr>
            <w:r w:rsidRPr="009D4808">
              <w:t>Non-</w:t>
            </w:r>
            <w:r>
              <w:t>m</w:t>
            </w:r>
            <w:r w:rsidRPr="009D4808">
              <w:t xml:space="preserve">arket </w:t>
            </w:r>
            <w:r>
              <w:t>s</w:t>
            </w:r>
            <w:r w:rsidRPr="009D4808">
              <w:t>trateg</w:t>
            </w:r>
            <w:r>
              <w:t>ies</w:t>
            </w:r>
          </w:p>
        </w:tc>
        <w:tc>
          <w:tcPr>
            <w:tcW w:w="5499" w:type="dxa"/>
            <w:tcBorders>
              <w:left w:val="nil"/>
              <w:bottom w:val="nil"/>
              <w:right w:val="nil"/>
            </w:tcBorders>
            <w:shd w:val="clear" w:color="auto" w:fill="auto"/>
            <w:vAlign w:val="center"/>
            <w:hideMark/>
          </w:tcPr>
          <w:p w14:paraId="2D9422E5" w14:textId="71957D89" w:rsidR="006865F9" w:rsidRDefault="006865F9" w:rsidP="00E20C82">
            <w:pPr>
              <w:pStyle w:val="NoSpacing"/>
              <w:numPr>
                <w:ilvl w:val="0"/>
                <w:numId w:val="7"/>
              </w:numPr>
            </w:pPr>
            <w:r w:rsidRPr="00496FE2">
              <w:t xml:space="preserve">Apple </w:t>
            </w:r>
            <w:proofErr w:type="spellStart"/>
            <w:r w:rsidRPr="00496FE2">
              <w:t>Inc</w:t>
            </w:r>
            <w:proofErr w:type="spellEnd"/>
            <w:r w:rsidRPr="00496FE2">
              <w:t xml:space="preserve"> in </w:t>
            </w:r>
            <w:r w:rsidR="00C161FB">
              <w:t>2015</w:t>
            </w:r>
            <w:r w:rsidRPr="00496FE2">
              <w:t xml:space="preserve">: </w:t>
            </w:r>
            <w:r w:rsidR="00C161FB">
              <w:t>Vision and Strategy</w:t>
            </w:r>
          </w:p>
          <w:p w14:paraId="3B3B516E" w14:textId="56FE6834" w:rsidR="00D8309D" w:rsidRPr="009D4808" w:rsidRDefault="00D8309D" w:rsidP="00D8309D">
            <w:pPr>
              <w:pStyle w:val="NoSpacing"/>
              <w:numPr>
                <w:ilvl w:val="0"/>
                <w:numId w:val="7"/>
              </w:numPr>
            </w:pPr>
            <w:r w:rsidRPr="00496FE2">
              <w:t>Eli Lilly and Company's CSR Dilemma</w:t>
            </w:r>
          </w:p>
        </w:tc>
      </w:tr>
      <w:tr w:rsidR="00FC5DB6" w:rsidRPr="009D4808" w14:paraId="45254DD0" w14:textId="77777777" w:rsidTr="008E5B48">
        <w:trPr>
          <w:trHeight w:val="964"/>
          <w:jc w:val="center"/>
        </w:trPr>
        <w:tc>
          <w:tcPr>
            <w:tcW w:w="907" w:type="dxa"/>
            <w:tcBorders>
              <w:top w:val="nil"/>
              <w:left w:val="nil"/>
              <w:bottom w:val="nil"/>
              <w:right w:val="nil"/>
            </w:tcBorders>
            <w:shd w:val="clear" w:color="auto" w:fill="auto"/>
            <w:noWrap/>
            <w:vAlign w:val="center"/>
            <w:hideMark/>
          </w:tcPr>
          <w:p w14:paraId="117F2E86" w14:textId="77777777" w:rsidR="001A5312" w:rsidRPr="009D4808" w:rsidRDefault="001A5312" w:rsidP="00A85469">
            <w:pPr>
              <w:pStyle w:val="NoSpacing"/>
              <w:jc w:val="center"/>
            </w:pPr>
            <w:r w:rsidRPr="009D4808">
              <w:t>3</w:t>
            </w:r>
          </w:p>
        </w:tc>
        <w:tc>
          <w:tcPr>
            <w:tcW w:w="1020" w:type="dxa"/>
            <w:tcBorders>
              <w:top w:val="nil"/>
              <w:left w:val="nil"/>
              <w:bottom w:val="nil"/>
              <w:right w:val="nil"/>
            </w:tcBorders>
            <w:shd w:val="clear" w:color="auto" w:fill="auto"/>
            <w:noWrap/>
            <w:vAlign w:val="center"/>
            <w:hideMark/>
          </w:tcPr>
          <w:p w14:paraId="5728924F" w14:textId="4CC4D1DB" w:rsidR="001A5312" w:rsidRPr="009D4808" w:rsidRDefault="008E5B48" w:rsidP="00A36225">
            <w:pPr>
              <w:pStyle w:val="NoSpacing"/>
              <w:jc w:val="center"/>
            </w:pPr>
            <w:r>
              <w:t>First week</w:t>
            </w:r>
          </w:p>
        </w:tc>
        <w:tc>
          <w:tcPr>
            <w:tcW w:w="1247" w:type="dxa"/>
            <w:tcBorders>
              <w:top w:val="nil"/>
              <w:left w:val="nil"/>
              <w:bottom w:val="nil"/>
              <w:right w:val="nil"/>
            </w:tcBorders>
            <w:shd w:val="clear" w:color="auto" w:fill="auto"/>
            <w:noWrap/>
            <w:vAlign w:val="center"/>
            <w:hideMark/>
          </w:tcPr>
          <w:p w14:paraId="4A81D36A" w14:textId="0B24E163" w:rsidR="001A5312" w:rsidRPr="009D4808" w:rsidRDefault="001A5312" w:rsidP="00A85469">
            <w:pPr>
              <w:pStyle w:val="NoSpacing"/>
              <w:jc w:val="center"/>
            </w:pPr>
            <w:r w:rsidRPr="009D4808">
              <w:t>Competitive Dynamics</w:t>
            </w:r>
          </w:p>
        </w:tc>
        <w:tc>
          <w:tcPr>
            <w:tcW w:w="1928" w:type="dxa"/>
            <w:tcBorders>
              <w:top w:val="nil"/>
              <w:left w:val="nil"/>
              <w:bottom w:val="nil"/>
              <w:right w:val="nil"/>
            </w:tcBorders>
            <w:shd w:val="clear" w:color="auto" w:fill="auto"/>
            <w:vAlign w:val="center"/>
            <w:hideMark/>
          </w:tcPr>
          <w:p w14:paraId="15FC9572" w14:textId="14ECC3D6" w:rsidR="008015D5" w:rsidRPr="009D4808" w:rsidRDefault="008015D5" w:rsidP="008015D5">
            <w:pPr>
              <w:pStyle w:val="NoSpacing"/>
              <w:jc w:val="center"/>
            </w:pPr>
            <w:r w:rsidRPr="009D4808">
              <w:t xml:space="preserve">Competitor </w:t>
            </w:r>
            <w:r w:rsidR="006E4E7F">
              <w:t>a</w:t>
            </w:r>
            <w:r w:rsidRPr="009D4808">
              <w:t>nalysis</w:t>
            </w:r>
          </w:p>
          <w:p w14:paraId="719866DE" w14:textId="573EF8D5" w:rsidR="001A5312" w:rsidRPr="009D4808" w:rsidRDefault="008015D5" w:rsidP="006E4E7F">
            <w:pPr>
              <w:pStyle w:val="NoSpacing"/>
              <w:jc w:val="center"/>
            </w:pPr>
            <w:r w:rsidRPr="009D4808">
              <w:t xml:space="preserve">Price </w:t>
            </w:r>
            <w:r w:rsidR="006E4E7F">
              <w:t>w</w:t>
            </w:r>
            <w:r w:rsidRPr="009D4808">
              <w:t>ars</w:t>
            </w:r>
          </w:p>
        </w:tc>
        <w:tc>
          <w:tcPr>
            <w:tcW w:w="5499" w:type="dxa"/>
            <w:tcBorders>
              <w:top w:val="nil"/>
              <w:left w:val="nil"/>
              <w:bottom w:val="nil"/>
              <w:right w:val="nil"/>
            </w:tcBorders>
            <w:shd w:val="clear" w:color="auto" w:fill="auto"/>
            <w:vAlign w:val="center"/>
            <w:hideMark/>
          </w:tcPr>
          <w:p w14:paraId="70DB6DBC" w14:textId="56B25CD5" w:rsidR="003F5831" w:rsidRPr="003F5831" w:rsidRDefault="008015D5" w:rsidP="003F5831">
            <w:pPr>
              <w:pStyle w:val="NoSpacing"/>
              <w:numPr>
                <w:ilvl w:val="0"/>
                <w:numId w:val="7"/>
              </w:numPr>
            </w:pPr>
            <w:r w:rsidRPr="00496FE2">
              <w:t>Competitive Dynamics and Business Strategy</w:t>
            </w:r>
          </w:p>
          <w:p w14:paraId="0D8DB4EE" w14:textId="26D4EA74" w:rsidR="008015D5" w:rsidRPr="00241145" w:rsidRDefault="003F5831" w:rsidP="003F5831">
            <w:pPr>
              <w:pStyle w:val="NoSpacing"/>
              <w:numPr>
                <w:ilvl w:val="0"/>
                <w:numId w:val="7"/>
              </w:numPr>
            </w:pPr>
            <w:bookmarkStart w:id="0" w:name="_GoBack"/>
            <w:r w:rsidRPr="003F5831">
              <w:rPr>
                <w:rFonts w:ascii="Helvetica Neue" w:eastAsia="Times New Roman" w:hAnsi="Helvetica Neue" w:cs="Times New Roman"/>
                <w:color w:val="000000"/>
              </w:rPr>
              <w:t xml:space="preserve">Alibaba's </w:t>
            </w:r>
            <w:proofErr w:type="spellStart"/>
            <w:r w:rsidRPr="003F5831">
              <w:rPr>
                <w:rFonts w:ascii="Helvetica Neue" w:eastAsia="Times New Roman" w:hAnsi="Helvetica Neue" w:cs="Times New Roman"/>
                <w:color w:val="000000"/>
              </w:rPr>
              <w:t>Taobao</w:t>
            </w:r>
            <w:proofErr w:type="spellEnd"/>
            <w:r w:rsidRPr="003F5831">
              <w:rPr>
                <w:rFonts w:ascii="Helvetica Neue" w:eastAsia="Times New Roman" w:hAnsi="Helvetica Neue" w:cs="Times New Roman"/>
                <w:color w:val="000000"/>
              </w:rPr>
              <w:t xml:space="preserve"> (A)</w:t>
            </w:r>
            <w:bookmarkEnd w:id="0"/>
          </w:p>
          <w:p w14:paraId="7EAF38EC" w14:textId="03FD2073" w:rsidR="001A5312" w:rsidRPr="009D4808" w:rsidRDefault="008015D5" w:rsidP="008015D5">
            <w:pPr>
              <w:pStyle w:val="NoSpacing"/>
              <w:numPr>
                <w:ilvl w:val="0"/>
                <w:numId w:val="7"/>
              </w:numPr>
            </w:pPr>
            <w:r w:rsidRPr="00496FE2">
              <w:t xml:space="preserve">Maersk Shipping: Is the </w:t>
            </w:r>
            <w:proofErr w:type="gramStart"/>
            <w:r w:rsidRPr="00496FE2">
              <w:t>Price</w:t>
            </w:r>
            <w:proofErr w:type="gramEnd"/>
            <w:r w:rsidRPr="00496FE2">
              <w:t xml:space="preserve"> Right?</w:t>
            </w:r>
          </w:p>
        </w:tc>
      </w:tr>
      <w:tr w:rsidR="00FC5DB6" w:rsidRPr="009D4808" w14:paraId="4EA02E78" w14:textId="77777777" w:rsidTr="008E5B48">
        <w:trPr>
          <w:trHeight w:val="964"/>
          <w:jc w:val="center"/>
        </w:trPr>
        <w:tc>
          <w:tcPr>
            <w:tcW w:w="907" w:type="dxa"/>
            <w:tcBorders>
              <w:top w:val="nil"/>
              <w:left w:val="nil"/>
              <w:bottom w:val="nil"/>
              <w:right w:val="nil"/>
            </w:tcBorders>
            <w:shd w:val="clear" w:color="auto" w:fill="auto"/>
            <w:noWrap/>
            <w:vAlign w:val="center"/>
            <w:hideMark/>
          </w:tcPr>
          <w:p w14:paraId="2DD08655" w14:textId="7E90D883" w:rsidR="001A5312" w:rsidRPr="009D4808" w:rsidRDefault="001A5312" w:rsidP="00A85469">
            <w:pPr>
              <w:pStyle w:val="NoSpacing"/>
              <w:jc w:val="center"/>
            </w:pPr>
            <w:r w:rsidRPr="009D4808">
              <w:t>4</w:t>
            </w:r>
          </w:p>
        </w:tc>
        <w:tc>
          <w:tcPr>
            <w:tcW w:w="1020" w:type="dxa"/>
            <w:tcBorders>
              <w:top w:val="nil"/>
              <w:left w:val="nil"/>
              <w:bottom w:val="nil"/>
              <w:right w:val="nil"/>
            </w:tcBorders>
            <w:shd w:val="clear" w:color="auto" w:fill="auto"/>
            <w:noWrap/>
            <w:vAlign w:val="center"/>
            <w:hideMark/>
          </w:tcPr>
          <w:p w14:paraId="33BE2A32" w14:textId="00A74676" w:rsidR="001A5312" w:rsidRPr="009D4808" w:rsidRDefault="008E5B48" w:rsidP="00A36225">
            <w:pPr>
              <w:pStyle w:val="NoSpacing"/>
              <w:jc w:val="center"/>
            </w:pPr>
            <w:r>
              <w:t>Second week</w:t>
            </w:r>
          </w:p>
        </w:tc>
        <w:tc>
          <w:tcPr>
            <w:tcW w:w="1247" w:type="dxa"/>
            <w:tcBorders>
              <w:top w:val="nil"/>
              <w:left w:val="nil"/>
              <w:bottom w:val="nil"/>
              <w:right w:val="nil"/>
            </w:tcBorders>
            <w:shd w:val="clear" w:color="auto" w:fill="auto"/>
            <w:noWrap/>
            <w:vAlign w:val="center"/>
            <w:hideMark/>
          </w:tcPr>
          <w:p w14:paraId="48BA587C" w14:textId="77777777" w:rsidR="000855A9" w:rsidRDefault="000855A9" w:rsidP="000855A9">
            <w:pPr>
              <w:pStyle w:val="NoSpacing"/>
              <w:jc w:val="center"/>
            </w:pPr>
            <w:r>
              <w:t>Corporate</w:t>
            </w:r>
          </w:p>
          <w:p w14:paraId="2165864D" w14:textId="2FE1701A" w:rsidR="001A5312" w:rsidRPr="009D4808" w:rsidRDefault="000855A9" w:rsidP="000855A9">
            <w:pPr>
              <w:pStyle w:val="NoSpacing"/>
              <w:jc w:val="center"/>
            </w:pPr>
            <w:r>
              <w:t>Strategy</w:t>
            </w:r>
          </w:p>
        </w:tc>
        <w:tc>
          <w:tcPr>
            <w:tcW w:w="1928" w:type="dxa"/>
            <w:tcBorders>
              <w:top w:val="nil"/>
              <w:left w:val="nil"/>
              <w:bottom w:val="nil"/>
              <w:right w:val="nil"/>
            </w:tcBorders>
            <w:shd w:val="clear" w:color="auto" w:fill="auto"/>
            <w:vAlign w:val="center"/>
            <w:hideMark/>
          </w:tcPr>
          <w:p w14:paraId="4EDDEC0C" w14:textId="06B5138B" w:rsidR="006E4E7F" w:rsidRPr="009D4808" w:rsidRDefault="006E4E7F" w:rsidP="006E4E7F">
            <w:pPr>
              <w:pStyle w:val="NoSpacing"/>
              <w:jc w:val="center"/>
            </w:pPr>
            <w:r>
              <w:t>M &amp; A</w:t>
            </w:r>
          </w:p>
        </w:tc>
        <w:tc>
          <w:tcPr>
            <w:tcW w:w="5499" w:type="dxa"/>
            <w:tcBorders>
              <w:top w:val="nil"/>
              <w:left w:val="nil"/>
              <w:bottom w:val="nil"/>
              <w:right w:val="nil"/>
            </w:tcBorders>
            <w:shd w:val="clear" w:color="auto" w:fill="auto"/>
            <w:vAlign w:val="center"/>
            <w:hideMark/>
          </w:tcPr>
          <w:p w14:paraId="1FBDB106" w14:textId="77777777" w:rsidR="00D8309D" w:rsidRDefault="00A36225" w:rsidP="00D8309D">
            <w:pPr>
              <w:pStyle w:val="NoSpacing"/>
              <w:numPr>
                <w:ilvl w:val="0"/>
                <w:numId w:val="7"/>
              </w:numPr>
            </w:pPr>
            <w:r>
              <w:t>Samsung Electronics</w:t>
            </w:r>
            <w:r w:rsidRPr="00496FE2">
              <w:t xml:space="preserve"> </w:t>
            </w:r>
          </w:p>
          <w:p w14:paraId="7B32CAF8" w14:textId="77777777" w:rsidR="00D8309D" w:rsidRDefault="00D8309D" w:rsidP="00D8309D">
            <w:pPr>
              <w:pStyle w:val="NoSpacing"/>
              <w:numPr>
                <w:ilvl w:val="0"/>
                <w:numId w:val="7"/>
              </w:numPr>
            </w:pPr>
            <w:r w:rsidRPr="00496FE2">
              <w:t xml:space="preserve">Diversification and Corporate Scope </w:t>
            </w:r>
          </w:p>
          <w:p w14:paraId="32B56B6A" w14:textId="4B3CEF59" w:rsidR="008015D5" w:rsidRPr="009D4808" w:rsidRDefault="00D8309D" w:rsidP="00D8309D">
            <w:pPr>
              <w:pStyle w:val="NoSpacing"/>
              <w:numPr>
                <w:ilvl w:val="0"/>
                <w:numId w:val="7"/>
              </w:numPr>
            </w:pPr>
            <w:r w:rsidRPr="00D8309D">
              <w:t>PepsiCo’s Restaurants</w:t>
            </w:r>
          </w:p>
        </w:tc>
      </w:tr>
      <w:tr w:rsidR="00FC5DB6" w:rsidRPr="009D4808" w14:paraId="5132D264" w14:textId="77777777" w:rsidTr="008E5B48">
        <w:trPr>
          <w:trHeight w:val="964"/>
          <w:jc w:val="center"/>
        </w:trPr>
        <w:tc>
          <w:tcPr>
            <w:tcW w:w="907" w:type="dxa"/>
            <w:tcBorders>
              <w:top w:val="nil"/>
              <w:left w:val="nil"/>
              <w:bottom w:val="nil"/>
              <w:right w:val="nil"/>
            </w:tcBorders>
            <w:shd w:val="clear" w:color="auto" w:fill="auto"/>
            <w:noWrap/>
            <w:vAlign w:val="center"/>
            <w:hideMark/>
          </w:tcPr>
          <w:p w14:paraId="1D636303" w14:textId="46C0FF9C" w:rsidR="001A5312" w:rsidRPr="009D4808" w:rsidRDefault="001A5312" w:rsidP="00A85469">
            <w:pPr>
              <w:pStyle w:val="NoSpacing"/>
              <w:jc w:val="center"/>
            </w:pPr>
            <w:r w:rsidRPr="009D4808">
              <w:t>5</w:t>
            </w:r>
          </w:p>
        </w:tc>
        <w:tc>
          <w:tcPr>
            <w:tcW w:w="1020" w:type="dxa"/>
            <w:tcBorders>
              <w:top w:val="nil"/>
              <w:left w:val="nil"/>
              <w:bottom w:val="nil"/>
              <w:right w:val="nil"/>
            </w:tcBorders>
            <w:shd w:val="clear" w:color="auto" w:fill="auto"/>
            <w:noWrap/>
            <w:vAlign w:val="center"/>
            <w:hideMark/>
          </w:tcPr>
          <w:p w14:paraId="08DA3313" w14:textId="6A4F015F" w:rsidR="001A5312" w:rsidRPr="009D4808" w:rsidRDefault="008E5B48" w:rsidP="00A36225">
            <w:pPr>
              <w:pStyle w:val="NoSpacing"/>
              <w:jc w:val="center"/>
            </w:pPr>
            <w:r>
              <w:t>Second week</w:t>
            </w:r>
          </w:p>
        </w:tc>
        <w:tc>
          <w:tcPr>
            <w:tcW w:w="1247" w:type="dxa"/>
            <w:tcBorders>
              <w:top w:val="nil"/>
              <w:left w:val="nil"/>
              <w:bottom w:val="nil"/>
              <w:right w:val="nil"/>
            </w:tcBorders>
            <w:shd w:val="clear" w:color="auto" w:fill="auto"/>
            <w:noWrap/>
            <w:vAlign w:val="center"/>
            <w:hideMark/>
          </w:tcPr>
          <w:p w14:paraId="35E6103B" w14:textId="77777777" w:rsidR="001A5312" w:rsidRPr="009D4808" w:rsidRDefault="001A5312" w:rsidP="00A85469">
            <w:pPr>
              <w:pStyle w:val="NoSpacing"/>
              <w:jc w:val="center"/>
            </w:pPr>
            <w:r w:rsidRPr="009D4808">
              <w:t>Corporate Strategy</w:t>
            </w:r>
          </w:p>
        </w:tc>
        <w:tc>
          <w:tcPr>
            <w:tcW w:w="1928" w:type="dxa"/>
            <w:tcBorders>
              <w:top w:val="nil"/>
              <w:left w:val="nil"/>
              <w:bottom w:val="nil"/>
              <w:right w:val="nil"/>
            </w:tcBorders>
            <w:shd w:val="clear" w:color="auto" w:fill="auto"/>
            <w:vAlign w:val="center"/>
            <w:hideMark/>
          </w:tcPr>
          <w:p w14:paraId="56098757" w14:textId="5E2E55C0" w:rsidR="005C509C" w:rsidRPr="009D4808" w:rsidRDefault="001A5312" w:rsidP="00D8309D">
            <w:pPr>
              <w:pStyle w:val="NoSpacing"/>
              <w:jc w:val="center"/>
            </w:pPr>
            <w:r w:rsidRPr="009D4808">
              <w:t>Diversification</w:t>
            </w:r>
          </w:p>
        </w:tc>
        <w:tc>
          <w:tcPr>
            <w:tcW w:w="5499" w:type="dxa"/>
            <w:tcBorders>
              <w:top w:val="nil"/>
              <w:left w:val="nil"/>
              <w:bottom w:val="nil"/>
              <w:right w:val="nil"/>
            </w:tcBorders>
            <w:shd w:val="clear" w:color="auto" w:fill="auto"/>
            <w:vAlign w:val="center"/>
            <w:hideMark/>
          </w:tcPr>
          <w:p w14:paraId="469A01A0" w14:textId="21DEB301" w:rsidR="005C509C" w:rsidRPr="009D4808" w:rsidRDefault="00496FE2" w:rsidP="005C509C">
            <w:pPr>
              <w:pStyle w:val="NoSpacing"/>
              <w:numPr>
                <w:ilvl w:val="0"/>
                <w:numId w:val="7"/>
              </w:numPr>
            </w:pPr>
            <w:r w:rsidRPr="00496FE2">
              <w:t>The Walt Disney Company: If you Give this Mouse a Foc</w:t>
            </w:r>
            <w:r>
              <w:t>us</w:t>
            </w:r>
          </w:p>
        </w:tc>
      </w:tr>
      <w:tr w:rsidR="00FC5DB6" w:rsidRPr="009D4808" w14:paraId="2D2B67FF" w14:textId="77777777" w:rsidTr="008E5B48">
        <w:trPr>
          <w:trHeight w:val="964"/>
          <w:jc w:val="center"/>
        </w:trPr>
        <w:tc>
          <w:tcPr>
            <w:tcW w:w="907" w:type="dxa"/>
            <w:tcBorders>
              <w:top w:val="nil"/>
              <w:left w:val="nil"/>
              <w:right w:val="nil"/>
            </w:tcBorders>
            <w:shd w:val="clear" w:color="auto" w:fill="auto"/>
            <w:noWrap/>
            <w:vAlign w:val="center"/>
            <w:hideMark/>
          </w:tcPr>
          <w:p w14:paraId="34254F2B" w14:textId="257C7C10" w:rsidR="001A5312" w:rsidRPr="009D4808" w:rsidRDefault="001A5312" w:rsidP="00A85469">
            <w:pPr>
              <w:pStyle w:val="NoSpacing"/>
              <w:jc w:val="center"/>
            </w:pPr>
            <w:r w:rsidRPr="009D4808">
              <w:t>6</w:t>
            </w:r>
          </w:p>
        </w:tc>
        <w:tc>
          <w:tcPr>
            <w:tcW w:w="1020" w:type="dxa"/>
            <w:tcBorders>
              <w:top w:val="nil"/>
              <w:left w:val="nil"/>
              <w:right w:val="nil"/>
            </w:tcBorders>
            <w:shd w:val="clear" w:color="auto" w:fill="auto"/>
            <w:noWrap/>
            <w:vAlign w:val="center"/>
            <w:hideMark/>
          </w:tcPr>
          <w:p w14:paraId="165AF10D" w14:textId="098BD53A" w:rsidR="001A5312" w:rsidRPr="009D4808" w:rsidRDefault="008E5B48" w:rsidP="00A36225">
            <w:pPr>
              <w:pStyle w:val="NoSpacing"/>
              <w:jc w:val="center"/>
            </w:pPr>
            <w:r>
              <w:t>Second week</w:t>
            </w:r>
          </w:p>
        </w:tc>
        <w:tc>
          <w:tcPr>
            <w:tcW w:w="1247" w:type="dxa"/>
            <w:tcBorders>
              <w:top w:val="nil"/>
              <w:left w:val="nil"/>
              <w:right w:val="nil"/>
            </w:tcBorders>
            <w:shd w:val="clear" w:color="auto" w:fill="auto"/>
            <w:noWrap/>
            <w:vAlign w:val="center"/>
            <w:hideMark/>
          </w:tcPr>
          <w:p w14:paraId="39DE3DB0" w14:textId="64B91EF9" w:rsidR="001A5312" w:rsidRPr="009D4808" w:rsidRDefault="000855A9" w:rsidP="00A85469">
            <w:pPr>
              <w:pStyle w:val="NoSpacing"/>
              <w:jc w:val="center"/>
            </w:pPr>
            <w:r>
              <w:t>Capstone</w:t>
            </w:r>
          </w:p>
        </w:tc>
        <w:tc>
          <w:tcPr>
            <w:tcW w:w="1928" w:type="dxa"/>
            <w:tcBorders>
              <w:top w:val="nil"/>
              <w:left w:val="nil"/>
              <w:right w:val="nil"/>
            </w:tcBorders>
            <w:shd w:val="clear" w:color="auto" w:fill="auto"/>
            <w:vAlign w:val="center"/>
            <w:hideMark/>
          </w:tcPr>
          <w:p w14:paraId="1DF16B19" w14:textId="7755D769" w:rsidR="00FC5DB6" w:rsidRPr="009D4808" w:rsidRDefault="000855A9" w:rsidP="00D8309D">
            <w:pPr>
              <w:pStyle w:val="NoSpacing"/>
              <w:jc w:val="center"/>
            </w:pPr>
            <w:r>
              <w:t>All</w:t>
            </w:r>
          </w:p>
        </w:tc>
        <w:tc>
          <w:tcPr>
            <w:tcW w:w="5499" w:type="dxa"/>
            <w:tcBorders>
              <w:top w:val="nil"/>
              <w:left w:val="nil"/>
              <w:right w:val="nil"/>
            </w:tcBorders>
            <w:shd w:val="clear" w:color="auto" w:fill="auto"/>
            <w:vAlign w:val="center"/>
            <w:hideMark/>
          </w:tcPr>
          <w:p w14:paraId="51A64F9C" w14:textId="59E14458" w:rsidR="001A5312" w:rsidRPr="009D4808" w:rsidRDefault="00D8309D" w:rsidP="00D8309D">
            <w:pPr>
              <w:pStyle w:val="NoSpacing"/>
              <w:numPr>
                <w:ilvl w:val="0"/>
                <w:numId w:val="7"/>
              </w:numPr>
            </w:pPr>
            <w:r w:rsidRPr="00D8309D">
              <w:t>Brooklyn</w:t>
            </w:r>
            <w:r>
              <w:t xml:space="preserve"> Brewery: Setting the Cou</w:t>
            </w:r>
            <w:r w:rsidR="00DC002A">
              <w:t>r</w:t>
            </w:r>
            <w:r>
              <w:t>se for Growth</w:t>
            </w:r>
          </w:p>
        </w:tc>
      </w:tr>
      <w:tr w:rsidR="00FC5DB6" w:rsidRPr="009D4808" w14:paraId="3429BA08" w14:textId="77777777" w:rsidTr="008E5B48">
        <w:trPr>
          <w:trHeight w:val="245"/>
          <w:jc w:val="center"/>
        </w:trPr>
        <w:tc>
          <w:tcPr>
            <w:tcW w:w="907" w:type="dxa"/>
            <w:tcBorders>
              <w:top w:val="nil"/>
              <w:left w:val="nil"/>
              <w:bottom w:val="single" w:sz="4" w:space="0" w:color="auto"/>
              <w:right w:val="nil"/>
            </w:tcBorders>
            <w:shd w:val="clear" w:color="auto" w:fill="auto"/>
            <w:noWrap/>
            <w:vAlign w:val="center"/>
            <w:hideMark/>
          </w:tcPr>
          <w:p w14:paraId="75416631" w14:textId="683A30D1" w:rsidR="001A5312" w:rsidRPr="009D4808" w:rsidRDefault="001A5312" w:rsidP="00A85469">
            <w:pPr>
              <w:pStyle w:val="NoSpacing"/>
              <w:jc w:val="center"/>
            </w:pPr>
          </w:p>
        </w:tc>
        <w:tc>
          <w:tcPr>
            <w:tcW w:w="1020" w:type="dxa"/>
            <w:tcBorders>
              <w:top w:val="nil"/>
              <w:left w:val="nil"/>
              <w:bottom w:val="single" w:sz="4" w:space="0" w:color="auto"/>
              <w:right w:val="nil"/>
            </w:tcBorders>
            <w:shd w:val="clear" w:color="auto" w:fill="auto"/>
            <w:noWrap/>
            <w:vAlign w:val="center"/>
            <w:hideMark/>
          </w:tcPr>
          <w:p w14:paraId="68FA6DB8" w14:textId="7CFB03F4" w:rsidR="001A5312" w:rsidRPr="009D4808" w:rsidRDefault="001A5312" w:rsidP="00A85469">
            <w:pPr>
              <w:pStyle w:val="NoSpacing"/>
              <w:jc w:val="center"/>
            </w:pPr>
          </w:p>
        </w:tc>
        <w:tc>
          <w:tcPr>
            <w:tcW w:w="1247" w:type="dxa"/>
            <w:tcBorders>
              <w:top w:val="nil"/>
              <w:left w:val="nil"/>
              <w:bottom w:val="single" w:sz="4" w:space="0" w:color="auto"/>
              <w:right w:val="nil"/>
            </w:tcBorders>
            <w:shd w:val="clear" w:color="auto" w:fill="auto"/>
            <w:noWrap/>
            <w:vAlign w:val="center"/>
            <w:hideMark/>
          </w:tcPr>
          <w:p w14:paraId="6A5018DD" w14:textId="55015C25" w:rsidR="001A5312" w:rsidRPr="009D4808" w:rsidRDefault="001A5312" w:rsidP="00A85469">
            <w:pPr>
              <w:pStyle w:val="NoSpacing"/>
              <w:jc w:val="center"/>
            </w:pPr>
          </w:p>
        </w:tc>
        <w:tc>
          <w:tcPr>
            <w:tcW w:w="1928" w:type="dxa"/>
            <w:tcBorders>
              <w:top w:val="nil"/>
              <w:left w:val="nil"/>
              <w:bottom w:val="single" w:sz="4" w:space="0" w:color="auto"/>
              <w:right w:val="nil"/>
            </w:tcBorders>
            <w:shd w:val="clear" w:color="auto" w:fill="auto"/>
            <w:vAlign w:val="center"/>
            <w:hideMark/>
          </w:tcPr>
          <w:p w14:paraId="1DD6BB24" w14:textId="77777777" w:rsidR="001A5312" w:rsidRPr="009D4808" w:rsidRDefault="001A5312" w:rsidP="00A85469">
            <w:pPr>
              <w:pStyle w:val="NoSpacing"/>
              <w:jc w:val="center"/>
            </w:pPr>
          </w:p>
        </w:tc>
        <w:tc>
          <w:tcPr>
            <w:tcW w:w="5499" w:type="dxa"/>
            <w:tcBorders>
              <w:top w:val="nil"/>
              <w:left w:val="nil"/>
              <w:bottom w:val="single" w:sz="4" w:space="0" w:color="auto"/>
              <w:right w:val="nil"/>
            </w:tcBorders>
            <w:shd w:val="clear" w:color="auto" w:fill="auto"/>
            <w:vAlign w:val="center"/>
            <w:hideMark/>
          </w:tcPr>
          <w:p w14:paraId="51D61A49" w14:textId="77777777" w:rsidR="001A5312" w:rsidRPr="009D4808" w:rsidRDefault="001A5312" w:rsidP="009D4808">
            <w:pPr>
              <w:pStyle w:val="NoSpacing"/>
            </w:pPr>
          </w:p>
        </w:tc>
      </w:tr>
    </w:tbl>
    <w:p w14:paraId="7015A610" w14:textId="77777777" w:rsidR="000D24A7" w:rsidRDefault="000D24A7" w:rsidP="00F62F05"/>
    <w:sectPr w:rsidR="000D24A7"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86D83" w14:textId="77777777" w:rsidR="008529F8" w:rsidRDefault="008529F8" w:rsidP="00934BFC">
      <w:pPr>
        <w:spacing w:after="0" w:line="240" w:lineRule="auto"/>
      </w:pPr>
      <w:r>
        <w:separator/>
      </w:r>
    </w:p>
  </w:endnote>
  <w:endnote w:type="continuationSeparator" w:id="0">
    <w:p w14:paraId="17002E25" w14:textId="77777777" w:rsidR="008529F8" w:rsidRDefault="008529F8"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A2B85" w14:textId="77777777" w:rsidR="000D24A7" w:rsidRDefault="000D24A7">
    <w:pPr>
      <w:pStyle w:val="Footer"/>
    </w:pPr>
    <w:r>
      <w:t xml:space="preserve">Page </w:t>
    </w:r>
    <w:r>
      <w:rPr>
        <w:b/>
      </w:rPr>
      <w:fldChar w:fldCharType="begin"/>
    </w:r>
    <w:r>
      <w:rPr>
        <w:b/>
      </w:rPr>
      <w:instrText xml:space="preserve"> PAGE  \* Arabic  \* MERGEFORMAT </w:instrText>
    </w:r>
    <w:r>
      <w:rPr>
        <w:b/>
      </w:rPr>
      <w:fldChar w:fldCharType="separate"/>
    </w:r>
    <w:r w:rsidR="00241145">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241145">
      <w:rPr>
        <w:b/>
        <w:noProof/>
      </w:rPr>
      <w:t>4</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5156E" w14:textId="77777777" w:rsidR="008529F8" w:rsidRDefault="008529F8" w:rsidP="00934BFC">
      <w:pPr>
        <w:spacing w:after="0" w:line="240" w:lineRule="auto"/>
      </w:pPr>
      <w:r>
        <w:separator/>
      </w:r>
    </w:p>
  </w:footnote>
  <w:footnote w:type="continuationSeparator" w:id="0">
    <w:p w14:paraId="2360031A" w14:textId="77777777" w:rsidR="008529F8" w:rsidRDefault="008529F8" w:rsidP="0093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770E8" w14:textId="77777777" w:rsidR="000D24A7" w:rsidRDefault="000D24A7" w:rsidP="00573C56">
    <w:pPr>
      <w:pStyle w:val="Header"/>
      <w:jc w:val="both"/>
    </w:pPr>
    <w:r>
      <w:rPr>
        <w:noProof/>
      </w:rPr>
      <w:ptab w:relativeTo="margin" w:alignment="left" w:leader="none"/>
    </w:r>
    <w:r>
      <w:rPr>
        <w:noProof/>
      </w:rPr>
      <w:drawing>
        <wp:inline distT="0" distB="0" distL="0" distR="0" wp14:anchorId="73DF2161" wp14:editId="52108C36">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40192"/>
    <w:multiLevelType w:val="hybridMultilevel"/>
    <w:tmpl w:val="B7C47360"/>
    <w:lvl w:ilvl="0" w:tplc="1B10BC06">
      <w:start w:val="1"/>
      <w:numFmt w:val="bullet"/>
      <w:suff w:val="space"/>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A53EC"/>
    <w:multiLevelType w:val="hybridMultilevel"/>
    <w:tmpl w:val="A6C206EE"/>
    <w:lvl w:ilvl="0" w:tplc="A76EA2F8">
      <w:start w:val="1"/>
      <w:numFmt w:val="bullet"/>
      <w:suff w:val="space"/>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1498D"/>
    <w:rsid w:val="00040786"/>
    <w:rsid w:val="000667DE"/>
    <w:rsid w:val="000855A9"/>
    <w:rsid w:val="000A12D1"/>
    <w:rsid w:val="000A1ED8"/>
    <w:rsid w:val="000B508C"/>
    <w:rsid w:val="000D24A7"/>
    <w:rsid w:val="00141E8C"/>
    <w:rsid w:val="00164697"/>
    <w:rsid w:val="001A5312"/>
    <w:rsid w:val="001D55F6"/>
    <w:rsid w:val="001D6C1B"/>
    <w:rsid w:val="002338BC"/>
    <w:rsid w:val="00241145"/>
    <w:rsid w:val="002B7AFD"/>
    <w:rsid w:val="002E082E"/>
    <w:rsid w:val="002E4552"/>
    <w:rsid w:val="002F54E1"/>
    <w:rsid w:val="00360EAB"/>
    <w:rsid w:val="003B4DB0"/>
    <w:rsid w:val="003B55EF"/>
    <w:rsid w:val="003C1EE9"/>
    <w:rsid w:val="003F5831"/>
    <w:rsid w:val="0042401C"/>
    <w:rsid w:val="00496FE2"/>
    <w:rsid w:val="004D2189"/>
    <w:rsid w:val="004D447C"/>
    <w:rsid w:val="004E3F4E"/>
    <w:rsid w:val="00511B3F"/>
    <w:rsid w:val="00535F4E"/>
    <w:rsid w:val="005573BC"/>
    <w:rsid w:val="00564034"/>
    <w:rsid w:val="00573C56"/>
    <w:rsid w:val="00584489"/>
    <w:rsid w:val="005A6147"/>
    <w:rsid w:val="005C509C"/>
    <w:rsid w:val="005D07B6"/>
    <w:rsid w:val="0063563F"/>
    <w:rsid w:val="006402C0"/>
    <w:rsid w:val="006865F9"/>
    <w:rsid w:val="006E4E7F"/>
    <w:rsid w:val="00710C03"/>
    <w:rsid w:val="007351EB"/>
    <w:rsid w:val="00741F1B"/>
    <w:rsid w:val="00747452"/>
    <w:rsid w:val="0075631A"/>
    <w:rsid w:val="0077015F"/>
    <w:rsid w:val="007908E1"/>
    <w:rsid w:val="0079354E"/>
    <w:rsid w:val="007C46A3"/>
    <w:rsid w:val="008015D5"/>
    <w:rsid w:val="008529F8"/>
    <w:rsid w:val="008669F9"/>
    <w:rsid w:val="00891FFA"/>
    <w:rsid w:val="008B133C"/>
    <w:rsid w:val="008B72BA"/>
    <w:rsid w:val="008E5B48"/>
    <w:rsid w:val="008E77DE"/>
    <w:rsid w:val="00915B9A"/>
    <w:rsid w:val="00934BFC"/>
    <w:rsid w:val="009621A1"/>
    <w:rsid w:val="009B6E6F"/>
    <w:rsid w:val="009D4808"/>
    <w:rsid w:val="009D5761"/>
    <w:rsid w:val="009D63A3"/>
    <w:rsid w:val="009E60E2"/>
    <w:rsid w:val="00A36225"/>
    <w:rsid w:val="00A4590B"/>
    <w:rsid w:val="00A46929"/>
    <w:rsid w:val="00A50AD4"/>
    <w:rsid w:val="00A836F4"/>
    <w:rsid w:val="00A85469"/>
    <w:rsid w:val="00A860E5"/>
    <w:rsid w:val="00A92130"/>
    <w:rsid w:val="00AA2FE2"/>
    <w:rsid w:val="00AC370B"/>
    <w:rsid w:val="00AC76D7"/>
    <w:rsid w:val="00AE5721"/>
    <w:rsid w:val="00AE6E0C"/>
    <w:rsid w:val="00AF0275"/>
    <w:rsid w:val="00AF6E46"/>
    <w:rsid w:val="00B1252B"/>
    <w:rsid w:val="00B12589"/>
    <w:rsid w:val="00B32818"/>
    <w:rsid w:val="00B93FA2"/>
    <w:rsid w:val="00BC1037"/>
    <w:rsid w:val="00BD033C"/>
    <w:rsid w:val="00C161FB"/>
    <w:rsid w:val="00C1780B"/>
    <w:rsid w:val="00C965E9"/>
    <w:rsid w:val="00CB74EF"/>
    <w:rsid w:val="00CE30C4"/>
    <w:rsid w:val="00D60379"/>
    <w:rsid w:val="00D73C46"/>
    <w:rsid w:val="00D8309D"/>
    <w:rsid w:val="00DB24A0"/>
    <w:rsid w:val="00DB507F"/>
    <w:rsid w:val="00DC002A"/>
    <w:rsid w:val="00E00273"/>
    <w:rsid w:val="00E0488B"/>
    <w:rsid w:val="00E20C82"/>
    <w:rsid w:val="00E82CA6"/>
    <w:rsid w:val="00EA4C1D"/>
    <w:rsid w:val="00EB30FD"/>
    <w:rsid w:val="00F00993"/>
    <w:rsid w:val="00F11B44"/>
    <w:rsid w:val="00F62F05"/>
    <w:rsid w:val="00FA4A36"/>
    <w:rsid w:val="00FB3FE5"/>
    <w:rsid w:val="00FC5DB6"/>
    <w:rsid w:val="00FF475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8C622E"/>
  <w15:docId w15:val="{EE319FBA-3B46-4AB2-ACFC-A790AEA1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4808"/>
  </w:style>
  <w:style w:type="paragraph" w:styleId="Heading1">
    <w:name w:val="heading 1"/>
    <w:basedOn w:val="Normal"/>
    <w:next w:val="Normal"/>
    <w:link w:val="Heading1Char"/>
    <w:uiPriority w:val="9"/>
    <w:qFormat/>
    <w:rsid w:val="009D4808"/>
    <w:pPr>
      <w:jc w:val="center"/>
      <w:outlineLvl w:val="0"/>
    </w:pPr>
    <w:rPr>
      <w:b/>
      <w:sz w:val="28"/>
      <w:szCs w:val="28"/>
    </w:rPr>
  </w:style>
  <w:style w:type="paragraph" w:styleId="Heading2">
    <w:name w:val="heading 2"/>
    <w:basedOn w:val="Normal"/>
    <w:next w:val="Normal"/>
    <w:link w:val="Heading2Char"/>
    <w:uiPriority w:val="9"/>
    <w:unhideWhenUsed/>
    <w:qFormat/>
    <w:rsid w:val="009D4808"/>
    <w:pPr>
      <w:outlineLvl w:val="1"/>
    </w:pPr>
    <w:rPr>
      <w:b/>
    </w:rPr>
  </w:style>
  <w:style w:type="paragraph" w:styleId="Heading3">
    <w:name w:val="heading 3"/>
    <w:basedOn w:val="Normal"/>
    <w:next w:val="Normal"/>
    <w:link w:val="Heading3Char"/>
    <w:uiPriority w:val="9"/>
    <w:unhideWhenUsed/>
    <w:qFormat/>
    <w:rsid w:val="009D4808"/>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FC5DB6"/>
    <w:rPr>
      <w:b w:val="0"/>
      <w:i w:val="0"/>
      <w:color w:val="1F497D" w:themeColor="text2"/>
      <w:u w:val="none"/>
    </w:rPr>
  </w:style>
  <w:style w:type="character" w:customStyle="1" w:styleId="Heading1Char">
    <w:name w:val="Heading 1 Char"/>
    <w:basedOn w:val="DefaultParagraphFont"/>
    <w:link w:val="Heading1"/>
    <w:uiPriority w:val="9"/>
    <w:rsid w:val="009D4808"/>
    <w:rPr>
      <w:b/>
      <w:sz w:val="28"/>
      <w:szCs w:val="28"/>
    </w:rPr>
  </w:style>
  <w:style w:type="character" w:customStyle="1" w:styleId="Heading2Char">
    <w:name w:val="Heading 2 Char"/>
    <w:basedOn w:val="DefaultParagraphFont"/>
    <w:link w:val="Heading2"/>
    <w:uiPriority w:val="9"/>
    <w:rsid w:val="009D4808"/>
    <w:rPr>
      <w:b/>
    </w:rPr>
  </w:style>
  <w:style w:type="character" w:customStyle="1" w:styleId="Heading3Char">
    <w:name w:val="Heading 3 Char"/>
    <w:basedOn w:val="DefaultParagraphFont"/>
    <w:link w:val="Heading3"/>
    <w:uiPriority w:val="9"/>
    <w:rsid w:val="009D4808"/>
    <w:rPr>
      <w:i/>
      <w:iCs/>
    </w:rPr>
  </w:style>
  <w:style w:type="paragraph" w:styleId="NoSpacing">
    <w:name w:val="No Spacing"/>
    <w:uiPriority w:val="1"/>
    <w:qFormat/>
    <w:rsid w:val="009D48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322441495">
      <w:bodyDiv w:val="1"/>
      <w:marLeft w:val="0"/>
      <w:marRight w:val="0"/>
      <w:marTop w:val="0"/>
      <w:marBottom w:val="0"/>
      <w:divBdr>
        <w:top w:val="none" w:sz="0" w:space="0" w:color="auto"/>
        <w:left w:val="none" w:sz="0" w:space="0" w:color="auto"/>
        <w:bottom w:val="none" w:sz="0" w:space="0" w:color="auto"/>
        <w:right w:val="none" w:sz="0" w:space="0" w:color="auto"/>
      </w:divBdr>
    </w:div>
    <w:div w:id="770979172">
      <w:bodyDiv w:val="1"/>
      <w:marLeft w:val="0"/>
      <w:marRight w:val="0"/>
      <w:marTop w:val="0"/>
      <w:marBottom w:val="0"/>
      <w:divBdr>
        <w:top w:val="none" w:sz="0" w:space="0" w:color="auto"/>
        <w:left w:val="none" w:sz="0" w:space="0" w:color="auto"/>
        <w:bottom w:val="none" w:sz="0" w:space="0" w:color="auto"/>
        <w:right w:val="none" w:sz="0" w:space="0" w:color="auto"/>
      </w:divBdr>
    </w:div>
    <w:div w:id="1167015679">
      <w:bodyDiv w:val="1"/>
      <w:marLeft w:val="0"/>
      <w:marRight w:val="0"/>
      <w:marTop w:val="0"/>
      <w:marBottom w:val="0"/>
      <w:divBdr>
        <w:top w:val="none" w:sz="0" w:space="0" w:color="auto"/>
        <w:left w:val="none" w:sz="0" w:space="0" w:color="auto"/>
        <w:bottom w:val="none" w:sz="0" w:space="0" w:color="auto"/>
        <w:right w:val="none" w:sz="0" w:space="0" w:color="auto"/>
      </w:divBdr>
    </w:div>
    <w:div w:id="1177576935">
      <w:bodyDiv w:val="1"/>
      <w:marLeft w:val="0"/>
      <w:marRight w:val="0"/>
      <w:marTop w:val="0"/>
      <w:marBottom w:val="0"/>
      <w:divBdr>
        <w:top w:val="none" w:sz="0" w:space="0" w:color="auto"/>
        <w:left w:val="none" w:sz="0" w:space="0" w:color="auto"/>
        <w:bottom w:val="none" w:sz="0" w:space="0" w:color="auto"/>
        <w:right w:val="none" w:sz="0" w:space="0" w:color="auto"/>
      </w:divBdr>
    </w:div>
    <w:div w:id="1312177644">
      <w:bodyDiv w:val="1"/>
      <w:marLeft w:val="0"/>
      <w:marRight w:val="0"/>
      <w:marTop w:val="0"/>
      <w:marBottom w:val="0"/>
      <w:divBdr>
        <w:top w:val="none" w:sz="0" w:space="0" w:color="auto"/>
        <w:left w:val="none" w:sz="0" w:space="0" w:color="auto"/>
        <w:bottom w:val="none" w:sz="0" w:space="0" w:color="auto"/>
        <w:right w:val="none" w:sz="0" w:space="0" w:color="auto"/>
      </w:divBdr>
    </w:div>
    <w:div w:id="1446651892">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6445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mailto:bo.cowgill@gsb.columbia.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991</Words>
  <Characters>5650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B5502 STRATEGY FORMULATION Syllabus</vt:lpstr>
    </vt:vector>
  </TitlesOfParts>
  <Company>Columbia University</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B5502 STRATEGY FORMULATION Syllabus</dc:title>
  <dc:creator>Ernesto Reuben</dc:creator>
  <cp:lastModifiedBy>Microsoft Office User</cp:lastModifiedBy>
  <cp:revision>18</cp:revision>
  <cp:lastPrinted>2015-10-29T22:11:00Z</cp:lastPrinted>
  <dcterms:created xsi:type="dcterms:W3CDTF">2015-10-28T16:26:00Z</dcterms:created>
  <dcterms:modified xsi:type="dcterms:W3CDTF">2017-01-12T12:56:00Z</dcterms:modified>
</cp:coreProperties>
</file>