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559" w:rsidRPr="00271285" w:rsidRDefault="00CA352B" w:rsidP="00776559">
      <w:pPr>
        <w:spacing w:after="0" w:line="240" w:lineRule="auto"/>
        <w:jc w:val="center"/>
        <w:rPr>
          <w:rFonts w:ascii="Comic Sans MS" w:hAnsi="Comic Sans MS"/>
          <w:b/>
          <w:color w:val="000000"/>
          <w:sz w:val="28"/>
          <w:szCs w:val="28"/>
        </w:rPr>
      </w:pPr>
      <w:r>
        <w:rPr>
          <w:rFonts w:ascii="Comic Sans MS" w:hAnsi="Comic Sans MS"/>
          <w:b/>
          <w:color w:val="000000"/>
          <w:sz w:val="28"/>
          <w:szCs w:val="28"/>
        </w:rPr>
        <w:t>ESG Investing in Public Equity Markets</w:t>
      </w:r>
    </w:p>
    <w:p w:rsidR="00E915F4" w:rsidRPr="00757025" w:rsidRDefault="00820B48" w:rsidP="00E915F4">
      <w:pPr>
        <w:spacing w:after="0" w:line="240" w:lineRule="auto"/>
        <w:jc w:val="center"/>
        <w:rPr>
          <w:rFonts w:ascii="Comic Sans MS" w:hAnsi="Comic Sans MS"/>
          <w:b/>
          <w:sz w:val="28"/>
          <w:szCs w:val="24"/>
        </w:rPr>
      </w:pPr>
      <w:r>
        <w:rPr>
          <w:rFonts w:ascii="Comic Sans MS" w:hAnsi="Comic Sans MS"/>
          <w:b/>
          <w:color w:val="000000"/>
          <w:sz w:val="28"/>
          <w:szCs w:val="28"/>
        </w:rPr>
        <w:t>=</w:t>
      </w:r>
      <w:r w:rsidR="007B1B41">
        <w:rPr>
          <w:rFonts w:ascii="Comic Sans MS" w:hAnsi="Comic Sans MS"/>
          <w:b/>
          <w:color w:val="000000"/>
          <w:sz w:val="28"/>
          <w:szCs w:val="28"/>
        </w:rPr>
        <w:t>Spring 2021</w:t>
      </w:r>
      <w:r>
        <w:rPr>
          <w:rFonts w:ascii="Comic Sans MS" w:hAnsi="Comic Sans MS"/>
          <w:b/>
          <w:color w:val="000000"/>
          <w:sz w:val="28"/>
          <w:szCs w:val="28"/>
        </w:rPr>
        <w:t>=</w:t>
      </w:r>
    </w:p>
    <w:p w:rsidR="00776559" w:rsidRPr="00596D26" w:rsidRDefault="007B1B41" w:rsidP="00E915F4">
      <w:pPr>
        <w:spacing w:after="240" w:line="240" w:lineRule="auto"/>
        <w:jc w:val="center"/>
        <w:rPr>
          <w:rFonts w:ascii="Comic Sans MS" w:hAnsi="Comic Sans MS"/>
          <w:b/>
          <w:color w:val="000000"/>
          <w:sz w:val="32"/>
          <w:szCs w:val="32"/>
        </w:rPr>
      </w:pPr>
      <w:r>
        <w:rPr>
          <w:rFonts w:ascii="Comic Sans MS" w:hAnsi="Comic Sans MS"/>
          <w:b/>
          <w:color w:val="000000"/>
          <w:sz w:val="32"/>
          <w:szCs w:val="32"/>
        </w:rPr>
        <w:t>Mondays &amp; Wednesdays, 5:40pm to 7:10pm</w:t>
      </w:r>
    </w:p>
    <w:p w:rsidR="00FB0BA3" w:rsidRPr="001F36A7" w:rsidRDefault="00FB0BA3" w:rsidP="00906D9A">
      <w:pPr>
        <w:spacing w:after="80"/>
        <w:rPr>
          <w:rFonts w:ascii="Comic Sans MS" w:hAnsi="Comic Sans MS"/>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5"/>
        <w:gridCol w:w="450"/>
        <w:gridCol w:w="5225"/>
      </w:tblGrid>
      <w:tr w:rsidR="00FB0BA3" w:rsidTr="008E4099">
        <w:tc>
          <w:tcPr>
            <w:tcW w:w="3595" w:type="dxa"/>
            <w:gridSpan w:val="2"/>
          </w:tcPr>
          <w:p w:rsidR="00FB0BA3" w:rsidRPr="001F36A7" w:rsidRDefault="00FB0BA3" w:rsidP="00906D9A">
            <w:pPr>
              <w:spacing w:after="80"/>
              <w:rPr>
                <w:rFonts w:ascii="Comic Sans MS" w:hAnsi="Comic Sans MS"/>
                <w:b/>
              </w:rPr>
            </w:pPr>
            <w:r w:rsidRPr="001F36A7">
              <w:rPr>
                <w:rFonts w:ascii="Comic Sans MS" w:hAnsi="Comic Sans MS"/>
                <w:b/>
                <w:color w:val="000000"/>
              </w:rPr>
              <w:t>PROFESSOR MARK ZURACK</w:t>
            </w:r>
          </w:p>
        </w:tc>
        <w:tc>
          <w:tcPr>
            <w:tcW w:w="5225" w:type="dxa"/>
          </w:tcPr>
          <w:p w:rsidR="00FB0BA3" w:rsidRDefault="00FB0BA3" w:rsidP="00906D9A">
            <w:pPr>
              <w:spacing w:after="80"/>
              <w:rPr>
                <w:rStyle w:val="Hyperlink"/>
                <w:rFonts w:ascii="Comic Sans MS" w:hAnsi="Comic Sans MS"/>
              </w:rPr>
            </w:pPr>
          </w:p>
        </w:tc>
      </w:tr>
      <w:tr w:rsidR="00FB0BA3" w:rsidTr="008E4099">
        <w:tc>
          <w:tcPr>
            <w:tcW w:w="3145" w:type="dxa"/>
          </w:tcPr>
          <w:p w:rsidR="00FB0BA3" w:rsidRPr="001F36A7" w:rsidRDefault="00FB0BA3" w:rsidP="00FB0BA3">
            <w:pPr>
              <w:spacing w:after="80"/>
              <w:rPr>
                <w:rFonts w:ascii="Comic Sans MS" w:hAnsi="Comic Sans MS"/>
                <w:b/>
              </w:rPr>
            </w:pPr>
            <w:r w:rsidRPr="001F36A7">
              <w:rPr>
                <w:rFonts w:ascii="Comic Sans MS" w:hAnsi="Comic Sans MS"/>
                <w:b/>
              </w:rPr>
              <w:t>Office Location</w:t>
            </w:r>
            <w:r w:rsidR="001E5288">
              <w:rPr>
                <w:rFonts w:ascii="Comic Sans MS" w:hAnsi="Comic Sans MS"/>
                <w:b/>
              </w:rPr>
              <w:t>:</w:t>
            </w:r>
          </w:p>
        </w:tc>
        <w:tc>
          <w:tcPr>
            <w:tcW w:w="5675" w:type="dxa"/>
            <w:gridSpan w:val="2"/>
          </w:tcPr>
          <w:p w:rsidR="00FB0BA3" w:rsidRDefault="00FB0BA3" w:rsidP="00FB0BA3">
            <w:pPr>
              <w:spacing w:after="80"/>
              <w:rPr>
                <w:rFonts w:ascii="Comic Sans MS" w:hAnsi="Comic Sans MS"/>
                <w:b/>
              </w:rPr>
            </w:pPr>
            <w:r w:rsidRPr="00267681">
              <w:rPr>
                <w:rFonts w:ascii="Comic Sans MS" w:hAnsi="Comic Sans MS"/>
              </w:rPr>
              <w:t>211 Uris Hall</w:t>
            </w:r>
          </w:p>
        </w:tc>
      </w:tr>
      <w:tr w:rsidR="00FB0BA3" w:rsidTr="008E4099">
        <w:tc>
          <w:tcPr>
            <w:tcW w:w="3145" w:type="dxa"/>
          </w:tcPr>
          <w:p w:rsidR="00FB0BA3" w:rsidRPr="001F36A7" w:rsidRDefault="00FB0BA3" w:rsidP="00FB0BA3">
            <w:pPr>
              <w:spacing w:after="80"/>
              <w:rPr>
                <w:rFonts w:ascii="Comic Sans MS" w:hAnsi="Comic Sans MS"/>
                <w:b/>
              </w:rPr>
            </w:pPr>
            <w:r w:rsidRPr="001F36A7">
              <w:rPr>
                <w:rFonts w:ascii="Comic Sans MS" w:hAnsi="Comic Sans MS"/>
                <w:b/>
              </w:rPr>
              <w:t>Office Phone</w:t>
            </w:r>
            <w:r w:rsidR="001E5288">
              <w:rPr>
                <w:rFonts w:ascii="Comic Sans MS" w:hAnsi="Comic Sans MS"/>
                <w:b/>
              </w:rPr>
              <w:t>:</w:t>
            </w:r>
          </w:p>
        </w:tc>
        <w:tc>
          <w:tcPr>
            <w:tcW w:w="5675" w:type="dxa"/>
            <w:gridSpan w:val="2"/>
          </w:tcPr>
          <w:p w:rsidR="00FB0BA3" w:rsidRPr="00267681" w:rsidRDefault="00FB0BA3" w:rsidP="00FB0BA3">
            <w:pPr>
              <w:spacing w:after="80"/>
              <w:rPr>
                <w:rFonts w:ascii="Comic Sans MS" w:hAnsi="Comic Sans MS"/>
              </w:rPr>
            </w:pPr>
            <w:r w:rsidRPr="00267681">
              <w:rPr>
                <w:rFonts w:ascii="Comic Sans MS" w:hAnsi="Comic Sans MS"/>
              </w:rPr>
              <w:t>212-854-6100</w:t>
            </w:r>
          </w:p>
        </w:tc>
      </w:tr>
      <w:tr w:rsidR="00FB0BA3" w:rsidTr="008E4099">
        <w:tc>
          <w:tcPr>
            <w:tcW w:w="3145" w:type="dxa"/>
          </w:tcPr>
          <w:p w:rsidR="00FB0BA3" w:rsidRPr="001F36A7" w:rsidRDefault="00FB0BA3" w:rsidP="00FB0BA3">
            <w:pPr>
              <w:spacing w:after="80"/>
              <w:rPr>
                <w:rFonts w:ascii="Comic Sans MS" w:hAnsi="Comic Sans MS"/>
                <w:b/>
              </w:rPr>
            </w:pPr>
            <w:r w:rsidRPr="001F36A7">
              <w:rPr>
                <w:rFonts w:ascii="Comic Sans MS" w:hAnsi="Comic Sans MS"/>
                <w:b/>
              </w:rPr>
              <w:t>Fax:</w:t>
            </w:r>
          </w:p>
        </w:tc>
        <w:tc>
          <w:tcPr>
            <w:tcW w:w="5675" w:type="dxa"/>
            <w:gridSpan w:val="2"/>
          </w:tcPr>
          <w:p w:rsidR="00FB0BA3" w:rsidRPr="00267681" w:rsidRDefault="00FB0BA3" w:rsidP="00FB0BA3">
            <w:pPr>
              <w:spacing w:after="80"/>
              <w:rPr>
                <w:rFonts w:ascii="Comic Sans MS" w:hAnsi="Comic Sans MS"/>
              </w:rPr>
            </w:pPr>
            <w:r>
              <w:rPr>
                <w:rFonts w:ascii="Comic Sans MS" w:hAnsi="Comic Sans MS"/>
              </w:rPr>
              <w:t>212</w:t>
            </w:r>
            <w:r w:rsidRPr="00267681">
              <w:rPr>
                <w:rFonts w:ascii="Comic Sans MS" w:hAnsi="Comic Sans MS"/>
              </w:rPr>
              <w:t>-</w:t>
            </w:r>
            <w:r>
              <w:rPr>
                <w:rFonts w:ascii="Comic Sans MS" w:hAnsi="Comic Sans MS"/>
              </w:rPr>
              <w:t>932</w:t>
            </w:r>
            <w:r w:rsidRPr="00267681">
              <w:rPr>
                <w:rFonts w:ascii="Comic Sans MS" w:hAnsi="Comic Sans MS"/>
              </w:rPr>
              <w:t>-</w:t>
            </w:r>
            <w:r>
              <w:rPr>
                <w:rFonts w:ascii="Comic Sans MS" w:hAnsi="Comic Sans MS"/>
              </w:rPr>
              <w:t>8614</w:t>
            </w:r>
          </w:p>
        </w:tc>
      </w:tr>
      <w:tr w:rsidR="00FB0BA3" w:rsidTr="008E4099">
        <w:tc>
          <w:tcPr>
            <w:tcW w:w="3145" w:type="dxa"/>
          </w:tcPr>
          <w:p w:rsidR="00FB0BA3" w:rsidRPr="001F36A7" w:rsidRDefault="00FB0BA3" w:rsidP="00FB0BA3">
            <w:pPr>
              <w:spacing w:after="80"/>
              <w:rPr>
                <w:rFonts w:ascii="Comic Sans MS" w:hAnsi="Comic Sans MS"/>
                <w:b/>
              </w:rPr>
            </w:pPr>
            <w:r w:rsidRPr="001F36A7">
              <w:rPr>
                <w:rFonts w:ascii="Comic Sans MS" w:hAnsi="Comic Sans MS"/>
                <w:b/>
              </w:rPr>
              <w:t>E-mail</w:t>
            </w:r>
            <w:r w:rsidR="001E5288">
              <w:rPr>
                <w:rFonts w:ascii="Comic Sans MS" w:hAnsi="Comic Sans MS"/>
                <w:b/>
              </w:rPr>
              <w:t>:</w:t>
            </w:r>
          </w:p>
        </w:tc>
        <w:tc>
          <w:tcPr>
            <w:tcW w:w="5675" w:type="dxa"/>
            <w:gridSpan w:val="2"/>
          </w:tcPr>
          <w:p w:rsidR="00FB0BA3" w:rsidRDefault="00076FD9" w:rsidP="00FB0BA3">
            <w:pPr>
              <w:spacing w:after="80"/>
              <w:rPr>
                <w:rFonts w:ascii="Comic Sans MS" w:hAnsi="Comic Sans MS"/>
              </w:rPr>
            </w:pPr>
            <w:hyperlink r:id="rId8" w:history="1">
              <w:r w:rsidR="00FB0BA3" w:rsidRPr="00855FF3">
                <w:rPr>
                  <w:rStyle w:val="Hyperlink"/>
                  <w:rFonts w:ascii="Comic Sans MS" w:hAnsi="Comic Sans MS"/>
                </w:rPr>
                <w:t>mz2015@columbia.edu</w:t>
              </w:r>
            </w:hyperlink>
          </w:p>
        </w:tc>
      </w:tr>
      <w:tr w:rsidR="00FB0BA3" w:rsidTr="008E4099">
        <w:tc>
          <w:tcPr>
            <w:tcW w:w="3145" w:type="dxa"/>
          </w:tcPr>
          <w:p w:rsidR="00FB0BA3" w:rsidRPr="001F36A7" w:rsidRDefault="00FB0BA3" w:rsidP="00FB0BA3">
            <w:pPr>
              <w:spacing w:after="80"/>
              <w:rPr>
                <w:rFonts w:ascii="Comic Sans MS" w:hAnsi="Comic Sans MS"/>
                <w:b/>
              </w:rPr>
            </w:pPr>
            <w:r w:rsidRPr="001F36A7">
              <w:rPr>
                <w:rFonts w:ascii="Comic Sans MS" w:hAnsi="Comic Sans MS"/>
                <w:b/>
              </w:rPr>
              <w:t>Office Hours:</w:t>
            </w:r>
          </w:p>
        </w:tc>
        <w:tc>
          <w:tcPr>
            <w:tcW w:w="5675" w:type="dxa"/>
            <w:gridSpan w:val="2"/>
          </w:tcPr>
          <w:p w:rsidR="00FB0BA3" w:rsidRDefault="00FB0BA3" w:rsidP="00FB0BA3">
            <w:pPr>
              <w:spacing w:after="80"/>
              <w:rPr>
                <w:rStyle w:val="Hyperlink"/>
                <w:rFonts w:ascii="Comic Sans MS" w:hAnsi="Comic Sans MS"/>
              </w:rPr>
            </w:pPr>
            <w:r>
              <w:rPr>
                <w:rFonts w:ascii="Comic Sans MS" w:hAnsi="Comic Sans MS"/>
              </w:rPr>
              <w:t>(</w:t>
            </w:r>
            <w:r>
              <w:rPr>
                <w:rFonts w:ascii="Comic Sans MS" w:hAnsi="Comic Sans MS"/>
                <w:color w:val="000000"/>
              </w:rPr>
              <w:t>email me to schedule an appointment)</w:t>
            </w:r>
          </w:p>
        </w:tc>
      </w:tr>
      <w:tr w:rsidR="00FB0BA3" w:rsidTr="008E4099">
        <w:tc>
          <w:tcPr>
            <w:tcW w:w="3145" w:type="dxa"/>
          </w:tcPr>
          <w:p w:rsidR="00FB0BA3" w:rsidRPr="001F36A7" w:rsidRDefault="00FB0BA3" w:rsidP="00FB0BA3">
            <w:pPr>
              <w:spacing w:after="80"/>
              <w:rPr>
                <w:rFonts w:ascii="Comic Sans MS" w:hAnsi="Comic Sans MS"/>
                <w:b/>
              </w:rPr>
            </w:pPr>
            <w:r w:rsidRPr="001F36A7">
              <w:rPr>
                <w:rFonts w:ascii="Comic Sans MS" w:hAnsi="Comic Sans MS"/>
                <w:b/>
              </w:rPr>
              <w:t>TEACHING ASSISTANT</w:t>
            </w:r>
            <w:r w:rsidR="00535E97">
              <w:rPr>
                <w:rFonts w:ascii="Comic Sans MS" w:hAnsi="Comic Sans MS"/>
                <w:b/>
              </w:rPr>
              <w:t>:</w:t>
            </w:r>
          </w:p>
        </w:tc>
        <w:tc>
          <w:tcPr>
            <w:tcW w:w="5675" w:type="dxa"/>
            <w:gridSpan w:val="2"/>
          </w:tcPr>
          <w:p w:rsidR="00FB0BA3" w:rsidRDefault="00E90316" w:rsidP="00FB0BA3">
            <w:pPr>
              <w:spacing w:after="80"/>
              <w:rPr>
                <w:rFonts w:ascii="Comic Sans MS" w:hAnsi="Comic Sans MS"/>
              </w:rPr>
            </w:pPr>
            <w:r>
              <w:rPr>
                <w:rFonts w:ascii="Comic Sans MS" w:hAnsi="Comic Sans MS"/>
              </w:rPr>
              <w:t>Vivian Hernandez: VHernandez21@gsb.columbia.edu</w:t>
            </w:r>
          </w:p>
        </w:tc>
      </w:tr>
    </w:tbl>
    <w:p w:rsidR="00537E34" w:rsidRDefault="00FB0BA3" w:rsidP="00596D26">
      <w:pPr>
        <w:spacing w:after="80"/>
        <w:rPr>
          <w:rFonts w:ascii="Comic Sans MS" w:hAnsi="Comic Sans MS"/>
          <w:b/>
        </w:rPr>
      </w:pPr>
      <w:r>
        <w:rPr>
          <w:rFonts w:ascii="Comic Sans MS" w:hAnsi="Comic Sans MS"/>
          <w:b/>
        </w:rPr>
        <w:br/>
      </w:r>
    </w:p>
    <w:p w:rsidR="00537E34" w:rsidRPr="00537E34" w:rsidRDefault="00537E34" w:rsidP="00537E34">
      <w:pPr>
        <w:spacing w:after="60" w:line="240" w:lineRule="auto"/>
        <w:rPr>
          <w:rFonts w:ascii="Comic Sans MS" w:hAnsi="Comic Sans MS"/>
          <w:b/>
        </w:rPr>
      </w:pPr>
      <w:r w:rsidRPr="00EF5A75">
        <w:rPr>
          <w:rFonts w:ascii="Comic Sans MS" w:hAnsi="Comic Sans MS"/>
          <w:b/>
        </w:rPr>
        <w:t>REQUIRED COURSE MATERIAL</w:t>
      </w:r>
    </w:p>
    <w:p w:rsidR="00537E34" w:rsidRDefault="00537E34" w:rsidP="00537E34">
      <w:pPr>
        <w:spacing w:after="60" w:line="240" w:lineRule="auto"/>
        <w:rPr>
          <w:rFonts w:ascii="Comic Sans MS" w:hAnsi="Comic Sans MS"/>
        </w:rPr>
      </w:pPr>
      <w:r>
        <w:rPr>
          <w:rFonts w:ascii="Comic Sans MS" w:hAnsi="Comic Sans MS"/>
        </w:rPr>
        <w:t>Some selected cases can be accessed by control/clicking on the syllabus, some readings</w:t>
      </w:r>
      <w:r w:rsidRPr="00EF5A75">
        <w:rPr>
          <w:rFonts w:ascii="Comic Sans MS" w:hAnsi="Comic Sans MS"/>
        </w:rPr>
        <w:t xml:space="preserve"> are on electronic reserve and accessible through the </w:t>
      </w:r>
      <w:r>
        <w:rPr>
          <w:rFonts w:ascii="Comic Sans MS" w:hAnsi="Comic Sans MS"/>
        </w:rPr>
        <w:t>Library Reserves tab</w:t>
      </w:r>
      <w:r w:rsidRPr="00EF5A75">
        <w:rPr>
          <w:rFonts w:ascii="Comic Sans MS" w:hAnsi="Comic Sans MS"/>
        </w:rPr>
        <w:t xml:space="preserve"> in Canvas</w:t>
      </w:r>
      <w:r>
        <w:rPr>
          <w:rFonts w:ascii="Comic Sans MS" w:hAnsi="Comic Sans MS"/>
        </w:rPr>
        <w:t xml:space="preserve"> (LR), and in PDF files under “Miscellaneous” in the Files tab in Canvas (PDF)</w:t>
      </w:r>
      <w:r w:rsidRPr="00EF5A75">
        <w:rPr>
          <w:rFonts w:ascii="Comic Sans MS" w:hAnsi="Comic Sans MS"/>
        </w:rPr>
        <w:t>.</w:t>
      </w:r>
    </w:p>
    <w:p w:rsidR="004E7F25" w:rsidRPr="00EF5A75" w:rsidRDefault="004E7F25" w:rsidP="00537E34">
      <w:pPr>
        <w:spacing w:after="60" w:line="240" w:lineRule="auto"/>
        <w:rPr>
          <w:rFonts w:ascii="Comic Sans MS" w:hAnsi="Comic Sans MS"/>
        </w:rPr>
      </w:pPr>
    </w:p>
    <w:p w:rsidR="00537E34" w:rsidRDefault="00537E34" w:rsidP="00537E34">
      <w:pPr>
        <w:spacing w:after="60" w:line="240" w:lineRule="auto"/>
        <w:rPr>
          <w:rFonts w:ascii="Comic Sans MS" w:hAnsi="Comic Sans MS"/>
          <w:b/>
        </w:rPr>
      </w:pPr>
      <w:r>
        <w:rPr>
          <w:rFonts w:ascii="Comic Sans MS" w:hAnsi="Comic Sans MS"/>
          <w:b/>
        </w:rPr>
        <w:t xml:space="preserve">REQUIRED PREREQUISITES: CAPITAL MARKETS AND INVESTMENTS </w:t>
      </w:r>
    </w:p>
    <w:p w:rsidR="00537E34" w:rsidRPr="00EF5A75" w:rsidRDefault="00537E34" w:rsidP="00537E34">
      <w:pPr>
        <w:spacing w:after="60" w:line="240" w:lineRule="auto"/>
        <w:rPr>
          <w:rFonts w:ascii="Comic Sans MS" w:hAnsi="Comic Sans MS"/>
          <w:b/>
        </w:rPr>
      </w:pPr>
      <w:r>
        <w:rPr>
          <w:rFonts w:ascii="Comic Sans MS" w:hAnsi="Comic Sans MS"/>
          <w:b/>
        </w:rPr>
        <w:br/>
        <w:t>C</w:t>
      </w:r>
      <w:r w:rsidRPr="00EF5A75">
        <w:rPr>
          <w:rFonts w:ascii="Comic Sans MS" w:hAnsi="Comic Sans MS"/>
          <w:b/>
        </w:rPr>
        <w:t>ONNECTION WITH THE CORE</w:t>
      </w:r>
    </w:p>
    <w:p w:rsidR="00537E34" w:rsidRPr="00EF5A75" w:rsidRDefault="00537E34" w:rsidP="00537E34">
      <w:pPr>
        <w:spacing w:after="80" w:line="240" w:lineRule="auto"/>
        <w:rPr>
          <w:rFonts w:ascii="Comic Sans MS" w:hAnsi="Comic Sans MS"/>
        </w:rPr>
      </w:pPr>
      <w:r w:rsidRPr="00EF5A75">
        <w:rPr>
          <w:rFonts w:ascii="Comic Sans MS" w:hAnsi="Comic Sans MS"/>
        </w:rPr>
        <w:t xml:space="preserve">This course builds on knowledge from the Capital Markets and Statistics courses (B8306).   Specifically, statistical techniques are used </w:t>
      </w:r>
      <w:r>
        <w:rPr>
          <w:rFonts w:ascii="Comic Sans MS" w:hAnsi="Comic Sans MS"/>
        </w:rPr>
        <w:t>to evaluate portfolio risk and return.  In addition, concepts introduced in Capital Markets like Beta, the Capital Asset Pricing Model, Sharpe Ratios, and Active and Passive Management are used in various forms of ESG investing and referenced throughout the course</w:t>
      </w:r>
    </w:p>
    <w:p w:rsidR="00A06F6D" w:rsidRDefault="00A06F6D" w:rsidP="00816B5D">
      <w:pPr>
        <w:rPr>
          <w:rFonts w:ascii="Comic Sans MS" w:hAnsi="Comic Sans MS"/>
        </w:rPr>
      </w:pPr>
    </w:p>
    <w:p w:rsidR="00906D9A" w:rsidRPr="00816B5D" w:rsidRDefault="00906D9A" w:rsidP="00816B5D">
      <w:r w:rsidRPr="005B4A62">
        <w:rPr>
          <w:rFonts w:ascii="Comic Sans MS" w:hAnsi="Comic Sans MS"/>
          <w:b/>
        </w:rPr>
        <w:t>COURSE DESCRIPTION AND OBJECTIVES</w:t>
      </w:r>
    </w:p>
    <w:p w:rsidR="004F0692" w:rsidRPr="00596D26" w:rsidRDefault="00893319" w:rsidP="004F0692">
      <w:pPr>
        <w:spacing w:after="120" w:line="240" w:lineRule="auto"/>
        <w:rPr>
          <w:rFonts w:ascii="Comic Sans MS" w:hAnsi="Comic Sans MS"/>
        </w:rPr>
      </w:pPr>
      <w:r w:rsidRPr="00596D26">
        <w:rPr>
          <w:rFonts w:ascii="Comic Sans MS" w:hAnsi="Comic Sans MS"/>
        </w:rPr>
        <w:t>As you</w:t>
      </w:r>
      <w:r w:rsidR="00BA0855" w:rsidRPr="00596D26">
        <w:rPr>
          <w:rFonts w:ascii="Comic Sans MS" w:hAnsi="Comic Sans MS"/>
        </w:rPr>
        <w:t xml:space="preserve"> </w:t>
      </w:r>
      <w:r w:rsidR="00963E31" w:rsidRPr="00596D26">
        <w:rPr>
          <w:rFonts w:ascii="Comic Sans MS" w:hAnsi="Comic Sans MS"/>
        </w:rPr>
        <w:t>probably</w:t>
      </w:r>
      <w:r w:rsidRPr="00596D26">
        <w:rPr>
          <w:rFonts w:ascii="Comic Sans MS" w:hAnsi="Comic Sans MS"/>
        </w:rPr>
        <w:t xml:space="preserve"> </w:t>
      </w:r>
      <w:r w:rsidR="00BA0855" w:rsidRPr="00596D26">
        <w:rPr>
          <w:rFonts w:ascii="Comic Sans MS" w:hAnsi="Comic Sans MS"/>
        </w:rPr>
        <w:t>know</w:t>
      </w:r>
      <w:r w:rsidRPr="00596D26">
        <w:rPr>
          <w:rFonts w:ascii="Comic Sans MS" w:hAnsi="Comic Sans MS"/>
        </w:rPr>
        <w:t xml:space="preserve">, more and more institutions are </w:t>
      </w:r>
      <w:r w:rsidR="00225D27" w:rsidRPr="00596D26">
        <w:rPr>
          <w:rFonts w:ascii="Comic Sans MS" w:hAnsi="Comic Sans MS"/>
        </w:rPr>
        <w:t>re-</w:t>
      </w:r>
      <w:r w:rsidRPr="00596D26">
        <w:rPr>
          <w:rFonts w:ascii="Comic Sans MS" w:hAnsi="Comic Sans MS"/>
        </w:rPr>
        <w:t>evaluating their Investment Guidelines</w:t>
      </w:r>
      <w:r w:rsidR="00963E31" w:rsidRPr="00596D26">
        <w:rPr>
          <w:rFonts w:ascii="Comic Sans MS" w:hAnsi="Comic Sans MS"/>
        </w:rPr>
        <w:t xml:space="preserve"> </w:t>
      </w:r>
      <w:r w:rsidRPr="00596D26">
        <w:rPr>
          <w:rFonts w:ascii="Comic Sans MS" w:hAnsi="Comic Sans MS"/>
        </w:rPr>
        <w:t>t</w:t>
      </w:r>
      <w:r w:rsidR="00963E31" w:rsidRPr="00596D26">
        <w:rPr>
          <w:rFonts w:ascii="Comic Sans MS" w:hAnsi="Comic Sans MS"/>
        </w:rPr>
        <w:t>o</w:t>
      </w:r>
      <w:r w:rsidRPr="00596D26">
        <w:rPr>
          <w:rFonts w:ascii="Comic Sans MS" w:hAnsi="Comic Sans MS"/>
        </w:rPr>
        <w:t xml:space="preserve"> take into account Environmental</w:t>
      </w:r>
      <w:r w:rsidR="00BA0855" w:rsidRPr="00596D26">
        <w:rPr>
          <w:rFonts w:ascii="Comic Sans MS" w:hAnsi="Comic Sans MS"/>
        </w:rPr>
        <w:t>,</w:t>
      </w:r>
      <w:r w:rsidRPr="00596D26">
        <w:rPr>
          <w:rFonts w:ascii="Comic Sans MS" w:hAnsi="Comic Sans MS"/>
        </w:rPr>
        <w:t xml:space="preserve"> Social and Governance consideratio</w:t>
      </w:r>
      <w:r w:rsidR="00BA0855" w:rsidRPr="00596D26">
        <w:rPr>
          <w:rFonts w:ascii="Comic Sans MS" w:hAnsi="Comic Sans MS"/>
        </w:rPr>
        <w:t>ns</w:t>
      </w:r>
      <w:r w:rsidRPr="00596D26">
        <w:rPr>
          <w:rFonts w:ascii="Comic Sans MS" w:hAnsi="Comic Sans MS"/>
        </w:rPr>
        <w:t>.</w:t>
      </w:r>
    </w:p>
    <w:p w:rsidR="00893319" w:rsidRPr="00596D26" w:rsidRDefault="00893319" w:rsidP="004F0692">
      <w:pPr>
        <w:spacing w:after="120" w:line="240" w:lineRule="auto"/>
        <w:rPr>
          <w:rFonts w:ascii="Comic Sans MS" w:hAnsi="Comic Sans MS"/>
        </w:rPr>
      </w:pPr>
      <w:r w:rsidRPr="00596D26">
        <w:rPr>
          <w:rFonts w:ascii="Comic Sans MS" w:hAnsi="Comic Sans MS"/>
        </w:rPr>
        <w:t>This process raises a series of tricky/interesting issues:</w:t>
      </w:r>
    </w:p>
    <w:p w:rsidR="00CF7C07" w:rsidRPr="00596D26" w:rsidRDefault="00893319" w:rsidP="00893319">
      <w:pPr>
        <w:pStyle w:val="ListParagraph"/>
        <w:numPr>
          <w:ilvl w:val="0"/>
          <w:numId w:val="6"/>
        </w:numPr>
        <w:spacing w:after="120" w:line="240" w:lineRule="auto"/>
        <w:rPr>
          <w:rFonts w:ascii="Comic Sans MS" w:hAnsi="Comic Sans MS"/>
        </w:rPr>
      </w:pPr>
      <w:r w:rsidRPr="00596D26">
        <w:rPr>
          <w:rFonts w:ascii="Comic Sans MS" w:hAnsi="Comic Sans MS"/>
        </w:rPr>
        <w:t xml:space="preserve">How </w:t>
      </w:r>
      <w:r w:rsidR="00BA0855" w:rsidRPr="00596D26">
        <w:rPr>
          <w:rFonts w:ascii="Comic Sans MS" w:hAnsi="Comic Sans MS"/>
        </w:rPr>
        <w:t xml:space="preserve">specifically is </w:t>
      </w:r>
      <w:r w:rsidRPr="00596D26">
        <w:rPr>
          <w:rFonts w:ascii="Comic Sans MS" w:hAnsi="Comic Sans MS"/>
        </w:rPr>
        <w:t xml:space="preserve">a company </w:t>
      </w:r>
      <w:r w:rsidR="004429D0">
        <w:rPr>
          <w:rFonts w:ascii="Comic Sans MS" w:hAnsi="Comic Sans MS"/>
        </w:rPr>
        <w:t xml:space="preserve">rated </w:t>
      </w:r>
      <w:r w:rsidRPr="00596D26">
        <w:rPr>
          <w:rFonts w:ascii="Comic Sans MS" w:hAnsi="Comic Sans MS"/>
        </w:rPr>
        <w:t xml:space="preserve">on ESG guidelines? </w:t>
      </w:r>
    </w:p>
    <w:p w:rsidR="00893319" w:rsidRPr="00596D26" w:rsidRDefault="00893319" w:rsidP="00893319">
      <w:pPr>
        <w:pStyle w:val="ListParagraph"/>
        <w:numPr>
          <w:ilvl w:val="0"/>
          <w:numId w:val="6"/>
        </w:numPr>
        <w:spacing w:after="120" w:line="240" w:lineRule="auto"/>
        <w:rPr>
          <w:rFonts w:ascii="Comic Sans MS" w:hAnsi="Comic Sans MS"/>
        </w:rPr>
      </w:pPr>
      <w:r w:rsidRPr="00596D26">
        <w:rPr>
          <w:rFonts w:ascii="Comic Sans MS" w:hAnsi="Comic Sans MS"/>
        </w:rPr>
        <w:t xml:space="preserve">There are multiple companies that provide ESG ratings, which one </w:t>
      </w:r>
      <w:r w:rsidR="004429D0">
        <w:rPr>
          <w:rFonts w:ascii="Comic Sans MS" w:hAnsi="Comic Sans MS"/>
        </w:rPr>
        <w:t xml:space="preserve">should an </w:t>
      </w:r>
      <w:r w:rsidR="004F5D99" w:rsidRPr="00596D26">
        <w:rPr>
          <w:rFonts w:ascii="Comic Sans MS" w:hAnsi="Comic Sans MS"/>
        </w:rPr>
        <w:t xml:space="preserve">investor </w:t>
      </w:r>
      <w:r w:rsidRPr="00596D26">
        <w:rPr>
          <w:rFonts w:ascii="Comic Sans MS" w:hAnsi="Comic Sans MS"/>
        </w:rPr>
        <w:t>choose?  Are they consistent with each other?</w:t>
      </w:r>
    </w:p>
    <w:p w:rsidR="001B4E14" w:rsidRPr="00596D26" w:rsidRDefault="004429D0" w:rsidP="001B4E14">
      <w:pPr>
        <w:pStyle w:val="ListParagraph"/>
        <w:numPr>
          <w:ilvl w:val="0"/>
          <w:numId w:val="6"/>
        </w:numPr>
        <w:spacing w:after="120" w:line="240" w:lineRule="auto"/>
        <w:rPr>
          <w:rFonts w:ascii="Comic Sans MS" w:hAnsi="Comic Sans MS"/>
        </w:rPr>
      </w:pPr>
      <w:r>
        <w:rPr>
          <w:rFonts w:ascii="Comic Sans MS" w:hAnsi="Comic Sans MS"/>
        </w:rPr>
        <w:t>Does consideration of</w:t>
      </w:r>
      <w:r w:rsidR="00843964" w:rsidRPr="00596D26">
        <w:rPr>
          <w:rFonts w:ascii="Comic Sans MS" w:hAnsi="Comic Sans MS"/>
        </w:rPr>
        <w:t xml:space="preserve"> ESG factors </w:t>
      </w:r>
      <w:r>
        <w:rPr>
          <w:rFonts w:ascii="Comic Sans MS" w:hAnsi="Comic Sans MS"/>
        </w:rPr>
        <w:t>improve</w:t>
      </w:r>
      <w:r w:rsidR="00843964" w:rsidRPr="00596D26">
        <w:rPr>
          <w:rFonts w:ascii="Comic Sans MS" w:hAnsi="Comic Sans MS"/>
        </w:rPr>
        <w:t xml:space="preserve"> investment p</w:t>
      </w:r>
      <w:r>
        <w:rPr>
          <w:rFonts w:ascii="Comic Sans MS" w:hAnsi="Comic Sans MS"/>
        </w:rPr>
        <w:t>erformance</w:t>
      </w:r>
      <w:r w:rsidR="00843964" w:rsidRPr="00596D26">
        <w:rPr>
          <w:rFonts w:ascii="Comic Sans MS" w:hAnsi="Comic Sans MS"/>
        </w:rPr>
        <w:t xml:space="preserve">?  </w:t>
      </w:r>
    </w:p>
    <w:p w:rsidR="0046250D" w:rsidRPr="00596D26" w:rsidRDefault="00843964" w:rsidP="00820B48">
      <w:pPr>
        <w:pStyle w:val="ListParagraph"/>
        <w:numPr>
          <w:ilvl w:val="0"/>
          <w:numId w:val="6"/>
        </w:numPr>
        <w:spacing w:after="120" w:line="240" w:lineRule="auto"/>
        <w:rPr>
          <w:rFonts w:ascii="Comic Sans MS" w:hAnsi="Comic Sans MS"/>
        </w:rPr>
      </w:pPr>
      <w:r w:rsidRPr="00596D26">
        <w:rPr>
          <w:rFonts w:ascii="Comic Sans MS" w:hAnsi="Comic Sans MS"/>
        </w:rPr>
        <w:lastRenderedPageBreak/>
        <w:t xml:space="preserve">Do some investors </w:t>
      </w:r>
      <w:r w:rsidR="004429D0">
        <w:rPr>
          <w:rFonts w:ascii="Comic Sans MS" w:hAnsi="Comic Sans MS"/>
        </w:rPr>
        <w:t xml:space="preserve">incorporate </w:t>
      </w:r>
      <w:r w:rsidRPr="00596D26">
        <w:rPr>
          <w:rFonts w:ascii="Comic Sans MS" w:hAnsi="Comic Sans MS"/>
        </w:rPr>
        <w:t xml:space="preserve">ESG </w:t>
      </w:r>
      <w:r w:rsidR="004429D0">
        <w:rPr>
          <w:rFonts w:ascii="Comic Sans MS" w:hAnsi="Comic Sans MS"/>
        </w:rPr>
        <w:t>factors</w:t>
      </w:r>
      <w:r w:rsidRPr="00596D26">
        <w:rPr>
          <w:rFonts w:ascii="Comic Sans MS" w:hAnsi="Comic Sans MS"/>
        </w:rPr>
        <w:t xml:space="preserve"> for</w:t>
      </w:r>
      <w:r w:rsidR="0046250D" w:rsidRPr="00596D26">
        <w:rPr>
          <w:rFonts w:ascii="Comic Sans MS" w:hAnsi="Comic Sans MS"/>
        </w:rPr>
        <w:t xml:space="preserve"> </w:t>
      </w:r>
      <w:r w:rsidR="004429D0">
        <w:rPr>
          <w:rFonts w:ascii="Comic Sans MS" w:hAnsi="Comic Sans MS"/>
        </w:rPr>
        <w:t xml:space="preserve">reasons </w:t>
      </w:r>
      <w:r w:rsidR="0046250D" w:rsidRPr="00596D26">
        <w:rPr>
          <w:rFonts w:ascii="Comic Sans MS" w:hAnsi="Comic Sans MS"/>
        </w:rPr>
        <w:t xml:space="preserve">other than </w:t>
      </w:r>
      <w:r w:rsidR="004429D0">
        <w:rPr>
          <w:rFonts w:ascii="Comic Sans MS" w:hAnsi="Comic Sans MS"/>
        </w:rPr>
        <w:t>investment performance</w:t>
      </w:r>
      <w:r w:rsidRPr="00596D26">
        <w:rPr>
          <w:rFonts w:ascii="Comic Sans MS" w:hAnsi="Comic Sans MS"/>
        </w:rPr>
        <w:t xml:space="preserve">?  </w:t>
      </w:r>
      <w:r w:rsidR="009A7350" w:rsidRPr="00596D26">
        <w:rPr>
          <w:rFonts w:ascii="Comic Sans MS" w:hAnsi="Comic Sans MS"/>
        </w:rPr>
        <w:br/>
      </w:r>
      <w:r w:rsidR="00BA68C3" w:rsidRPr="00596D26">
        <w:rPr>
          <w:rFonts w:ascii="Comic Sans MS" w:hAnsi="Comic Sans MS"/>
        </w:rPr>
        <w:t>Is there a cost of that decision?  How does that cost square with the Fiduciary responsibility an Asset Manager has?</w:t>
      </w:r>
    </w:p>
    <w:p w:rsidR="00225D27" w:rsidRPr="00596D26" w:rsidRDefault="00225D27" w:rsidP="00225D27">
      <w:pPr>
        <w:pStyle w:val="ListParagraph"/>
        <w:numPr>
          <w:ilvl w:val="0"/>
          <w:numId w:val="6"/>
        </w:numPr>
        <w:spacing w:after="120" w:line="240" w:lineRule="auto"/>
        <w:rPr>
          <w:rFonts w:ascii="Comic Sans MS" w:hAnsi="Comic Sans MS"/>
        </w:rPr>
      </w:pPr>
      <w:r w:rsidRPr="00596D26">
        <w:rPr>
          <w:rFonts w:ascii="Comic Sans MS" w:hAnsi="Comic Sans MS"/>
        </w:rPr>
        <w:t xml:space="preserve">How does an Asset Manager use the power of the Proxy vote </w:t>
      </w:r>
      <w:r w:rsidR="00F26A4A">
        <w:rPr>
          <w:rFonts w:ascii="Comic Sans MS" w:hAnsi="Comic Sans MS"/>
        </w:rPr>
        <w:t xml:space="preserve">and Corporate Engagement </w:t>
      </w:r>
      <w:r w:rsidRPr="00596D26">
        <w:rPr>
          <w:rFonts w:ascii="Comic Sans MS" w:hAnsi="Comic Sans MS"/>
        </w:rPr>
        <w:t>to affect change in Environmental, Social and Governance policies</w:t>
      </w:r>
    </w:p>
    <w:p w:rsidR="00CD054A" w:rsidRPr="00596D26" w:rsidRDefault="009A7350" w:rsidP="00B553C5">
      <w:pPr>
        <w:keepNext/>
        <w:spacing w:after="120" w:line="240" w:lineRule="auto"/>
        <w:rPr>
          <w:rFonts w:ascii="Comic Sans MS" w:hAnsi="Comic Sans MS"/>
        </w:rPr>
      </w:pPr>
      <w:r w:rsidRPr="00596D26">
        <w:rPr>
          <w:rFonts w:ascii="Comic Sans MS" w:hAnsi="Comic Sans MS"/>
        </w:rPr>
        <w:br/>
      </w:r>
      <w:r w:rsidR="0046250D" w:rsidRPr="00596D26">
        <w:rPr>
          <w:rFonts w:ascii="Comic Sans MS" w:hAnsi="Comic Sans MS"/>
        </w:rPr>
        <w:t>This course</w:t>
      </w:r>
      <w:r w:rsidR="00711B82" w:rsidRPr="00596D26">
        <w:rPr>
          <w:rFonts w:ascii="Comic Sans MS" w:hAnsi="Comic Sans MS"/>
        </w:rPr>
        <w:t xml:space="preserve"> </w:t>
      </w:r>
      <w:r w:rsidR="007B6CAD" w:rsidRPr="00596D26">
        <w:rPr>
          <w:rFonts w:ascii="Comic Sans MS" w:hAnsi="Comic Sans MS"/>
        </w:rPr>
        <w:t xml:space="preserve">tries to answer the questions just raised as well as address other issues Equity Investors face. </w:t>
      </w:r>
      <w:r w:rsidRPr="00596D26">
        <w:rPr>
          <w:rFonts w:ascii="Comic Sans MS" w:hAnsi="Comic Sans MS"/>
        </w:rPr>
        <w:t>It</w:t>
      </w:r>
      <w:r w:rsidR="00963E31" w:rsidRPr="00596D26">
        <w:rPr>
          <w:rFonts w:ascii="Comic Sans MS" w:hAnsi="Comic Sans MS"/>
        </w:rPr>
        <w:t>s main topics cover:</w:t>
      </w:r>
      <w:r w:rsidR="00CD054A" w:rsidRPr="00596D26">
        <w:rPr>
          <w:rFonts w:ascii="Comic Sans MS" w:hAnsi="Comic Sans MS"/>
        </w:rPr>
        <w:t xml:space="preserve"> </w:t>
      </w:r>
    </w:p>
    <w:p w:rsidR="00CD054A" w:rsidRPr="00596D26" w:rsidRDefault="00963E31" w:rsidP="00CD054A">
      <w:pPr>
        <w:pStyle w:val="ListParagraph"/>
        <w:keepNext/>
        <w:numPr>
          <w:ilvl w:val="0"/>
          <w:numId w:val="6"/>
        </w:numPr>
        <w:spacing w:after="120" w:line="240" w:lineRule="auto"/>
        <w:rPr>
          <w:rFonts w:ascii="Comic Sans MS" w:hAnsi="Comic Sans MS"/>
        </w:rPr>
      </w:pPr>
      <w:r w:rsidRPr="00596D26">
        <w:rPr>
          <w:rFonts w:ascii="Comic Sans MS" w:hAnsi="Comic Sans MS"/>
        </w:rPr>
        <w:t xml:space="preserve">Comparing </w:t>
      </w:r>
      <w:r w:rsidR="00BA0855" w:rsidRPr="00596D26">
        <w:rPr>
          <w:rFonts w:ascii="Comic Sans MS" w:hAnsi="Comic Sans MS"/>
        </w:rPr>
        <w:t xml:space="preserve">ESG </w:t>
      </w:r>
      <w:r w:rsidR="007B6CAD" w:rsidRPr="00596D26">
        <w:rPr>
          <w:rFonts w:ascii="Comic Sans MS" w:hAnsi="Comic Sans MS"/>
        </w:rPr>
        <w:t>Classification</w:t>
      </w:r>
      <w:r w:rsidR="00CD054A" w:rsidRPr="00596D26">
        <w:rPr>
          <w:rFonts w:ascii="Comic Sans MS" w:hAnsi="Comic Sans MS"/>
        </w:rPr>
        <w:t xml:space="preserve"> Systems</w:t>
      </w:r>
    </w:p>
    <w:p w:rsidR="00CD054A" w:rsidRPr="00596D26" w:rsidRDefault="00761ADC" w:rsidP="00A45C3A">
      <w:pPr>
        <w:pStyle w:val="ListParagraph"/>
        <w:keepNext/>
        <w:numPr>
          <w:ilvl w:val="0"/>
          <w:numId w:val="6"/>
        </w:numPr>
        <w:spacing w:after="120" w:line="240" w:lineRule="auto"/>
        <w:rPr>
          <w:rFonts w:ascii="Comic Sans MS" w:hAnsi="Comic Sans MS"/>
        </w:rPr>
      </w:pPr>
      <w:r w:rsidRPr="00596D26">
        <w:rPr>
          <w:rFonts w:ascii="Comic Sans MS" w:hAnsi="Comic Sans MS"/>
        </w:rPr>
        <w:t>Compari</w:t>
      </w:r>
      <w:r w:rsidR="00BA0855" w:rsidRPr="00596D26">
        <w:rPr>
          <w:rFonts w:ascii="Comic Sans MS" w:hAnsi="Comic Sans MS"/>
        </w:rPr>
        <w:t xml:space="preserve">ng </w:t>
      </w:r>
      <w:r w:rsidRPr="00596D26">
        <w:rPr>
          <w:rFonts w:ascii="Comic Sans MS" w:hAnsi="Comic Sans MS"/>
        </w:rPr>
        <w:t xml:space="preserve">historical returns, risks and costs of portfolios that incorporate ESG factors versus </w:t>
      </w:r>
      <w:r w:rsidR="00711B82" w:rsidRPr="00596D26">
        <w:rPr>
          <w:rFonts w:ascii="Comic Sans MS" w:hAnsi="Comic Sans MS"/>
        </w:rPr>
        <w:t>ones that don’t</w:t>
      </w:r>
    </w:p>
    <w:p w:rsidR="00CD054A" w:rsidRPr="00596D26" w:rsidRDefault="00761ADC" w:rsidP="00CD054A">
      <w:pPr>
        <w:pStyle w:val="ListParagraph"/>
        <w:keepNext/>
        <w:numPr>
          <w:ilvl w:val="0"/>
          <w:numId w:val="6"/>
        </w:numPr>
        <w:spacing w:after="120" w:line="240" w:lineRule="auto"/>
        <w:rPr>
          <w:rFonts w:ascii="Comic Sans MS" w:hAnsi="Comic Sans MS"/>
        </w:rPr>
      </w:pPr>
      <w:r w:rsidRPr="00596D26">
        <w:rPr>
          <w:rFonts w:ascii="Comic Sans MS" w:hAnsi="Comic Sans MS"/>
        </w:rPr>
        <w:t>Evaluat</w:t>
      </w:r>
      <w:r w:rsidR="00B72860">
        <w:rPr>
          <w:rFonts w:ascii="Comic Sans MS" w:hAnsi="Comic Sans MS"/>
        </w:rPr>
        <w:t>ing</w:t>
      </w:r>
      <w:r w:rsidRPr="00596D26">
        <w:rPr>
          <w:rFonts w:ascii="Comic Sans MS" w:hAnsi="Comic Sans MS"/>
        </w:rPr>
        <w:t xml:space="preserve"> how Active managers </w:t>
      </w:r>
      <w:r w:rsidR="00CD054A" w:rsidRPr="00596D26">
        <w:rPr>
          <w:rFonts w:ascii="Comic Sans MS" w:hAnsi="Comic Sans MS"/>
        </w:rPr>
        <w:t>incorporate ESG factors in</w:t>
      </w:r>
      <w:r w:rsidR="009C4A2A" w:rsidRPr="00596D26">
        <w:rPr>
          <w:rFonts w:ascii="Comic Sans MS" w:hAnsi="Comic Sans MS"/>
        </w:rPr>
        <w:t>to</w:t>
      </w:r>
      <w:r w:rsidR="00CD054A" w:rsidRPr="00596D26">
        <w:rPr>
          <w:rFonts w:ascii="Comic Sans MS" w:hAnsi="Comic Sans MS"/>
        </w:rPr>
        <w:t xml:space="preserve"> their portf</w:t>
      </w:r>
      <w:r w:rsidR="00EC6CD5" w:rsidRPr="00596D26">
        <w:rPr>
          <w:rFonts w:ascii="Comic Sans MS" w:hAnsi="Comic Sans MS"/>
        </w:rPr>
        <w:t>olio manage</w:t>
      </w:r>
      <w:r w:rsidR="00B72860">
        <w:rPr>
          <w:rFonts w:ascii="Comic Sans MS" w:hAnsi="Comic Sans MS"/>
        </w:rPr>
        <w:t>ment</w:t>
      </w:r>
      <w:r w:rsidR="00EC6CD5" w:rsidRPr="00596D26">
        <w:rPr>
          <w:rFonts w:ascii="Comic Sans MS" w:hAnsi="Comic Sans MS"/>
        </w:rPr>
        <w:t xml:space="preserve"> process</w:t>
      </w:r>
      <w:r w:rsidR="009C4A2A" w:rsidRPr="00596D26">
        <w:rPr>
          <w:rFonts w:ascii="Comic Sans MS" w:hAnsi="Comic Sans MS"/>
        </w:rPr>
        <w:t>, contrast</w:t>
      </w:r>
      <w:r w:rsidR="00B72860">
        <w:rPr>
          <w:rFonts w:ascii="Comic Sans MS" w:hAnsi="Comic Sans MS"/>
        </w:rPr>
        <w:t>ing</w:t>
      </w:r>
      <w:r w:rsidR="009C4A2A" w:rsidRPr="00596D26">
        <w:rPr>
          <w:rFonts w:ascii="Comic Sans MS" w:hAnsi="Comic Sans MS"/>
        </w:rPr>
        <w:t xml:space="preserve"> Fundamental versus Quantitative approaches</w:t>
      </w:r>
    </w:p>
    <w:p w:rsidR="00A45C3A" w:rsidRPr="00596D26" w:rsidRDefault="00A45C3A" w:rsidP="00A45C3A">
      <w:pPr>
        <w:pStyle w:val="ListParagraph"/>
        <w:keepNext/>
        <w:numPr>
          <w:ilvl w:val="0"/>
          <w:numId w:val="6"/>
        </w:numPr>
        <w:spacing w:after="120" w:line="240" w:lineRule="auto"/>
        <w:rPr>
          <w:rFonts w:ascii="Comic Sans MS" w:hAnsi="Comic Sans MS"/>
        </w:rPr>
      </w:pPr>
      <w:r w:rsidRPr="00596D26">
        <w:rPr>
          <w:rFonts w:ascii="Comic Sans MS" w:hAnsi="Comic Sans MS"/>
        </w:rPr>
        <w:t xml:space="preserve">Review Passive </w:t>
      </w:r>
      <w:r w:rsidR="00DF3BD1">
        <w:rPr>
          <w:rFonts w:ascii="Comic Sans MS" w:hAnsi="Comic Sans MS"/>
        </w:rPr>
        <w:t xml:space="preserve">ESG </w:t>
      </w:r>
      <w:r w:rsidRPr="00596D26">
        <w:rPr>
          <w:rFonts w:ascii="Comic Sans MS" w:hAnsi="Comic Sans MS"/>
        </w:rPr>
        <w:t>invest</w:t>
      </w:r>
      <w:r w:rsidR="00B72860">
        <w:rPr>
          <w:rFonts w:ascii="Comic Sans MS" w:hAnsi="Comic Sans MS"/>
        </w:rPr>
        <w:t xml:space="preserve">ing focusing on Index Selection and the use of </w:t>
      </w:r>
      <w:r w:rsidRPr="00596D26">
        <w:rPr>
          <w:rFonts w:ascii="Comic Sans MS" w:hAnsi="Comic Sans MS"/>
        </w:rPr>
        <w:t>Exchange Traded Fund</w:t>
      </w:r>
      <w:r w:rsidR="009C4A2A" w:rsidRPr="00596D26">
        <w:rPr>
          <w:rFonts w:ascii="Comic Sans MS" w:hAnsi="Comic Sans MS"/>
        </w:rPr>
        <w:t>s</w:t>
      </w:r>
    </w:p>
    <w:p w:rsidR="00CD054A" w:rsidRPr="00DF3BD1" w:rsidRDefault="009C4A2A" w:rsidP="00DF3BD1">
      <w:pPr>
        <w:pStyle w:val="ListParagraph"/>
        <w:keepNext/>
        <w:numPr>
          <w:ilvl w:val="0"/>
          <w:numId w:val="6"/>
        </w:numPr>
        <w:spacing w:after="120" w:line="240" w:lineRule="auto"/>
        <w:rPr>
          <w:rFonts w:ascii="Comic Sans MS" w:hAnsi="Comic Sans MS"/>
        </w:rPr>
      </w:pPr>
      <w:r w:rsidRPr="00596D26">
        <w:rPr>
          <w:rFonts w:ascii="Comic Sans MS" w:hAnsi="Comic Sans MS"/>
        </w:rPr>
        <w:t xml:space="preserve">Explore how Asset Managers use the power of the vote </w:t>
      </w:r>
      <w:r w:rsidR="009C7F92">
        <w:rPr>
          <w:rFonts w:ascii="Comic Sans MS" w:hAnsi="Comic Sans MS"/>
        </w:rPr>
        <w:t xml:space="preserve">and other forms of engagement </w:t>
      </w:r>
      <w:r w:rsidRPr="00596D26">
        <w:rPr>
          <w:rFonts w:ascii="Comic Sans MS" w:hAnsi="Comic Sans MS"/>
        </w:rPr>
        <w:t>to affect change in Corporate Behavior</w:t>
      </w:r>
      <w:r w:rsidR="009C7F92">
        <w:rPr>
          <w:rFonts w:ascii="Comic Sans MS" w:hAnsi="Comic Sans MS"/>
        </w:rPr>
        <w:t>.</w:t>
      </w:r>
    </w:p>
    <w:p w:rsidR="008E4099" w:rsidRDefault="008E4099" w:rsidP="00B553C5">
      <w:pPr>
        <w:keepNext/>
        <w:spacing w:after="120" w:line="240" w:lineRule="auto"/>
        <w:rPr>
          <w:rFonts w:ascii="Comic Sans MS" w:hAnsi="Comic Sans MS"/>
          <w:b/>
        </w:rPr>
      </w:pPr>
    </w:p>
    <w:p w:rsidR="00906D9A" w:rsidRPr="005B4A62" w:rsidRDefault="00906D9A" w:rsidP="00B553C5">
      <w:pPr>
        <w:keepNext/>
        <w:spacing w:after="120" w:line="240" w:lineRule="auto"/>
        <w:rPr>
          <w:rFonts w:ascii="Comic Sans MS" w:hAnsi="Comic Sans MS"/>
          <w:b/>
        </w:rPr>
      </w:pPr>
      <w:r w:rsidRPr="005B4A62">
        <w:rPr>
          <w:rFonts w:ascii="Comic Sans MS" w:hAnsi="Comic Sans MS"/>
          <w:b/>
        </w:rPr>
        <w:t>ASSIGNMENTS</w:t>
      </w:r>
    </w:p>
    <w:p w:rsidR="00906D9A" w:rsidRPr="00FB0BA3" w:rsidRDefault="00906D9A" w:rsidP="00906D9A">
      <w:pPr>
        <w:spacing w:after="120" w:line="240" w:lineRule="auto"/>
        <w:rPr>
          <w:rFonts w:ascii="Comic Sans MS" w:hAnsi="Comic Sans MS"/>
        </w:rPr>
      </w:pPr>
      <w:r w:rsidRPr="00596D26">
        <w:rPr>
          <w:rFonts w:ascii="Comic Sans MS" w:hAnsi="Comic Sans MS"/>
        </w:rPr>
        <w:t xml:space="preserve">All assignments must be completed in writing </w:t>
      </w:r>
      <w:r w:rsidR="00F51E87" w:rsidRPr="00596D26">
        <w:rPr>
          <w:rFonts w:ascii="Comic Sans MS" w:hAnsi="Comic Sans MS"/>
        </w:rPr>
        <w:t>with hard copies handed in before class</w:t>
      </w:r>
      <w:r w:rsidRPr="00596D26">
        <w:rPr>
          <w:rFonts w:ascii="Comic Sans MS" w:hAnsi="Comic Sans MS"/>
        </w:rPr>
        <w:t xml:space="preserve">.  </w:t>
      </w:r>
      <w:r w:rsidR="009A7350" w:rsidRPr="00596D26">
        <w:rPr>
          <w:rFonts w:ascii="Comic Sans MS" w:hAnsi="Comic Sans MS"/>
        </w:rPr>
        <w:br/>
      </w:r>
      <w:r w:rsidRPr="00FB0BA3">
        <w:rPr>
          <w:rFonts w:ascii="Comic Sans MS" w:hAnsi="Comic Sans MS"/>
        </w:rPr>
        <w:t>Some assignments will be Type A, some Type B.</w:t>
      </w:r>
    </w:p>
    <w:p w:rsidR="00906D9A" w:rsidRPr="00596D26" w:rsidRDefault="00906D9A" w:rsidP="00906D9A">
      <w:pPr>
        <w:spacing w:after="120" w:line="240" w:lineRule="auto"/>
        <w:rPr>
          <w:rFonts w:ascii="Comic Sans MS" w:hAnsi="Comic Sans MS"/>
        </w:rPr>
      </w:pPr>
      <w:r w:rsidRPr="00FB0BA3">
        <w:rPr>
          <w:rFonts w:ascii="Comic Sans MS" w:hAnsi="Comic Sans MS"/>
        </w:rPr>
        <w:t xml:space="preserve">For Type </w:t>
      </w:r>
      <w:proofErr w:type="gramStart"/>
      <w:r w:rsidRPr="00FB0BA3">
        <w:rPr>
          <w:rFonts w:ascii="Comic Sans MS" w:hAnsi="Comic Sans MS"/>
        </w:rPr>
        <w:t>A</w:t>
      </w:r>
      <w:proofErr w:type="gramEnd"/>
      <w:r w:rsidRPr="00FB0BA3">
        <w:rPr>
          <w:rFonts w:ascii="Comic Sans MS" w:hAnsi="Comic Sans MS"/>
        </w:rPr>
        <w:t xml:space="preserve"> assignments, each student must participate in a group discussion regarding the assignment before submission and review and if needed edit the final submission. </w:t>
      </w:r>
      <w:r w:rsidR="009A7350" w:rsidRPr="00FB0BA3">
        <w:rPr>
          <w:rFonts w:ascii="Comic Sans MS" w:hAnsi="Comic Sans MS"/>
        </w:rPr>
        <w:br/>
      </w:r>
      <w:r w:rsidRPr="00596D26">
        <w:rPr>
          <w:rFonts w:ascii="Comic Sans MS" w:hAnsi="Comic Sans MS"/>
        </w:rPr>
        <w:t>Collaboration across groups is not allowed.</w:t>
      </w:r>
    </w:p>
    <w:p w:rsidR="00906D9A" w:rsidRPr="009C20D7" w:rsidRDefault="00641BF0" w:rsidP="009C20D7">
      <w:pPr>
        <w:spacing w:after="120" w:line="240" w:lineRule="auto"/>
        <w:rPr>
          <w:rFonts w:ascii="Comic Sans MS" w:hAnsi="Comic Sans MS"/>
        </w:rPr>
      </w:pPr>
      <w:r w:rsidRPr="00FB0BA3">
        <w:rPr>
          <w:rFonts w:ascii="Comic Sans MS" w:hAnsi="Comic Sans MS"/>
        </w:rPr>
        <w:t>For Type B a</w:t>
      </w:r>
      <w:r w:rsidR="00906D9A" w:rsidRPr="00FB0BA3">
        <w:rPr>
          <w:rFonts w:ascii="Comic Sans MS" w:hAnsi="Comic Sans MS"/>
        </w:rPr>
        <w:t>ssignments, each student should attempt t</w:t>
      </w:r>
      <w:bookmarkStart w:id="0" w:name="_GoBack"/>
      <w:bookmarkEnd w:id="0"/>
      <w:r w:rsidR="00906D9A" w:rsidRPr="00FB0BA3">
        <w:rPr>
          <w:rFonts w:ascii="Comic Sans MS" w:hAnsi="Comic Sans MS"/>
        </w:rPr>
        <w:t xml:space="preserve">o answer the questions on their own </w:t>
      </w:r>
      <w:r w:rsidR="009A7350" w:rsidRPr="00FB0BA3">
        <w:rPr>
          <w:rFonts w:ascii="Comic Sans MS" w:hAnsi="Comic Sans MS"/>
        </w:rPr>
        <w:br/>
      </w:r>
      <w:r w:rsidR="00906D9A" w:rsidRPr="00FB0BA3">
        <w:rPr>
          <w:rFonts w:ascii="Comic Sans MS" w:hAnsi="Comic Sans MS"/>
        </w:rPr>
        <w:t>before collaborating with other students.</w:t>
      </w:r>
      <w:r w:rsidR="00521DD1" w:rsidRPr="00FB0BA3">
        <w:rPr>
          <w:rFonts w:ascii="Comic Sans MS" w:hAnsi="Comic Sans MS"/>
        </w:rPr>
        <w:t xml:space="preserve">  </w:t>
      </w:r>
      <w:r w:rsidR="009A7350" w:rsidRPr="00FB0BA3">
        <w:rPr>
          <w:rFonts w:ascii="Comic Sans MS" w:hAnsi="Comic Sans MS"/>
        </w:rPr>
        <w:br/>
      </w:r>
      <w:r w:rsidR="00521DD1" w:rsidRPr="00FB0BA3">
        <w:rPr>
          <w:rFonts w:ascii="Comic Sans MS" w:hAnsi="Comic Sans MS"/>
        </w:rPr>
        <w:t xml:space="preserve">Each student should </w:t>
      </w:r>
      <w:r w:rsidR="0098006B" w:rsidRPr="00FB0BA3">
        <w:rPr>
          <w:rFonts w:ascii="Comic Sans MS" w:hAnsi="Comic Sans MS"/>
        </w:rPr>
        <w:t>hand in</w:t>
      </w:r>
      <w:r w:rsidR="00521DD1" w:rsidRPr="00FB0BA3">
        <w:rPr>
          <w:rFonts w:ascii="Comic Sans MS" w:hAnsi="Comic Sans MS"/>
        </w:rPr>
        <w:t xml:space="preserve"> t</w:t>
      </w:r>
      <w:r w:rsidRPr="00FB0BA3">
        <w:rPr>
          <w:rFonts w:ascii="Comic Sans MS" w:hAnsi="Comic Sans MS"/>
        </w:rPr>
        <w:t>heir own submission for Type B a</w:t>
      </w:r>
      <w:r w:rsidR="00521DD1" w:rsidRPr="00FB0BA3">
        <w:rPr>
          <w:rFonts w:ascii="Comic Sans MS" w:hAnsi="Comic Sans MS"/>
        </w:rPr>
        <w:t>ssignments.</w:t>
      </w:r>
      <w:r w:rsidR="009A7350" w:rsidRPr="00FB0BA3">
        <w:rPr>
          <w:rFonts w:ascii="Comic Sans MS" w:hAnsi="Comic Sans MS"/>
        </w:rPr>
        <w:br/>
      </w:r>
      <w:r w:rsidR="009C20D7">
        <w:rPr>
          <w:rFonts w:ascii="Comic Sans MS" w:hAnsi="Comic Sans MS"/>
        </w:rPr>
        <w:br/>
      </w:r>
      <w:r w:rsidR="00906D9A" w:rsidRPr="00E54F90">
        <w:rPr>
          <w:rFonts w:ascii="Comic Sans MS" w:hAnsi="Comic Sans MS"/>
          <w:b/>
          <w:sz w:val="21"/>
          <w:szCs w:val="21"/>
        </w:rPr>
        <w:t>METHOD OF EVALUATION</w:t>
      </w:r>
    </w:p>
    <w:tbl>
      <w:tblPr>
        <w:tblStyle w:val="TableGrid"/>
        <w:tblW w:w="0" w:type="auto"/>
        <w:tblLayout w:type="fixed"/>
        <w:tblLook w:val="04A0" w:firstRow="1" w:lastRow="0" w:firstColumn="1" w:lastColumn="0" w:noHBand="0" w:noVBand="1"/>
      </w:tblPr>
      <w:tblGrid>
        <w:gridCol w:w="3742"/>
        <w:gridCol w:w="1473"/>
      </w:tblGrid>
      <w:tr w:rsidR="00906D9A" w:rsidRPr="00E54F90" w:rsidTr="005B4A62">
        <w:tc>
          <w:tcPr>
            <w:tcW w:w="3742" w:type="dxa"/>
          </w:tcPr>
          <w:p w:rsidR="00906D9A" w:rsidRPr="009C20D7" w:rsidRDefault="00906D9A" w:rsidP="00EC64CB">
            <w:pPr>
              <w:rPr>
                <w:rFonts w:ascii="Comic Sans MS" w:hAnsi="Comic Sans MS"/>
              </w:rPr>
            </w:pPr>
            <w:r w:rsidRPr="009C20D7">
              <w:rPr>
                <w:rFonts w:ascii="Comic Sans MS" w:hAnsi="Comic Sans MS"/>
              </w:rPr>
              <w:t xml:space="preserve">Class Participation </w:t>
            </w:r>
          </w:p>
        </w:tc>
        <w:tc>
          <w:tcPr>
            <w:tcW w:w="1473" w:type="dxa"/>
          </w:tcPr>
          <w:p w:rsidR="00906D9A" w:rsidRPr="009C20D7" w:rsidRDefault="00906D9A" w:rsidP="00EC64CB">
            <w:pPr>
              <w:rPr>
                <w:rFonts w:ascii="Comic Sans MS" w:hAnsi="Comic Sans MS"/>
              </w:rPr>
            </w:pPr>
            <w:r w:rsidRPr="009C20D7">
              <w:rPr>
                <w:rFonts w:ascii="Comic Sans MS" w:hAnsi="Comic Sans MS"/>
              </w:rPr>
              <w:t>40%</w:t>
            </w:r>
          </w:p>
        </w:tc>
      </w:tr>
      <w:tr w:rsidR="00906D9A" w:rsidRPr="00E54F90" w:rsidTr="005B4A62">
        <w:tc>
          <w:tcPr>
            <w:tcW w:w="3742" w:type="dxa"/>
          </w:tcPr>
          <w:p w:rsidR="00906D9A" w:rsidRPr="009C20D7" w:rsidRDefault="009C4A2A" w:rsidP="00EC64CB">
            <w:pPr>
              <w:rPr>
                <w:rFonts w:ascii="Comic Sans MS" w:hAnsi="Comic Sans MS"/>
              </w:rPr>
            </w:pPr>
            <w:r w:rsidRPr="009C20D7">
              <w:rPr>
                <w:rFonts w:ascii="Comic Sans MS" w:hAnsi="Comic Sans MS"/>
              </w:rPr>
              <w:t>Assignments</w:t>
            </w:r>
          </w:p>
        </w:tc>
        <w:tc>
          <w:tcPr>
            <w:tcW w:w="1473" w:type="dxa"/>
          </w:tcPr>
          <w:p w:rsidR="00906D9A" w:rsidRPr="009C20D7" w:rsidRDefault="009C4A2A" w:rsidP="00EC64CB">
            <w:pPr>
              <w:rPr>
                <w:rFonts w:ascii="Comic Sans MS" w:hAnsi="Comic Sans MS"/>
              </w:rPr>
            </w:pPr>
            <w:r w:rsidRPr="009C20D7">
              <w:rPr>
                <w:rFonts w:ascii="Comic Sans MS" w:hAnsi="Comic Sans MS"/>
              </w:rPr>
              <w:t>2</w:t>
            </w:r>
            <w:r w:rsidR="00906D9A" w:rsidRPr="009C20D7">
              <w:rPr>
                <w:rFonts w:ascii="Comic Sans MS" w:hAnsi="Comic Sans MS"/>
              </w:rPr>
              <w:t>5%</w:t>
            </w:r>
          </w:p>
        </w:tc>
      </w:tr>
      <w:tr w:rsidR="00906D9A" w:rsidRPr="00E54F90" w:rsidTr="005B4A62">
        <w:tc>
          <w:tcPr>
            <w:tcW w:w="3742" w:type="dxa"/>
          </w:tcPr>
          <w:p w:rsidR="00906D9A" w:rsidRPr="009C20D7" w:rsidRDefault="00906D9A" w:rsidP="00EC64CB">
            <w:pPr>
              <w:rPr>
                <w:rFonts w:ascii="Comic Sans MS" w:hAnsi="Comic Sans MS"/>
              </w:rPr>
            </w:pPr>
            <w:r w:rsidRPr="009C20D7">
              <w:rPr>
                <w:rFonts w:ascii="Comic Sans MS" w:hAnsi="Comic Sans MS"/>
              </w:rPr>
              <w:t xml:space="preserve">Final </w:t>
            </w:r>
            <w:r w:rsidR="009C4A2A" w:rsidRPr="009C20D7">
              <w:rPr>
                <w:rFonts w:ascii="Comic Sans MS" w:hAnsi="Comic Sans MS"/>
              </w:rPr>
              <w:t>Research Paper</w:t>
            </w:r>
          </w:p>
        </w:tc>
        <w:tc>
          <w:tcPr>
            <w:tcW w:w="1473" w:type="dxa"/>
          </w:tcPr>
          <w:p w:rsidR="00906D9A" w:rsidRPr="009C20D7" w:rsidRDefault="009C4A2A" w:rsidP="00EC64CB">
            <w:pPr>
              <w:rPr>
                <w:rFonts w:ascii="Comic Sans MS" w:hAnsi="Comic Sans MS"/>
              </w:rPr>
            </w:pPr>
            <w:r w:rsidRPr="009C20D7">
              <w:rPr>
                <w:rFonts w:ascii="Comic Sans MS" w:hAnsi="Comic Sans MS"/>
              </w:rPr>
              <w:t>35</w:t>
            </w:r>
            <w:r w:rsidR="00906D9A" w:rsidRPr="009C20D7">
              <w:rPr>
                <w:rFonts w:ascii="Comic Sans MS" w:hAnsi="Comic Sans MS"/>
              </w:rPr>
              <w:t>%</w:t>
            </w:r>
          </w:p>
        </w:tc>
      </w:tr>
    </w:tbl>
    <w:p w:rsidR="009C20D7" w:rsidRDefault="009C20D7" w:rsidP="00906D9A">
      <w:pPr>
        <w:spacing w:before="120" w:after="120" w:line="240" w:lineRule="auto"/>
        <w:rPr>
          <w:rFonts w:ascii="Comic Sans MS" w:hAnsi="Comic Sans MS"/>
        </w:rPr>
      </w:pPr>
      <w:r>
        <w:rPr>
          <w:rFonts w:ascii="Comic Sans MS" w:hAnsi="Comic Sans MS"/>
        </w:rPr>
        <w:br/>
      </w:r>
      <w:r w:rsidR="00906D9A" w:rsidRPr="005B4A62">
        <w:rPr>
          <w:rFonts w:ascii="Comic Sans MS" w:hAnsi="Comic Sans MS"/>
        </w:rPr>
        <w:t>An important component of Class Participation is attendance which will be tracked.</w:t>
      </w:r>
    </w:p>
    <w:p w:rsidR="00906D9A" w:rsidRPr="005B4A62" w:rsidRDefault="00906D9A" w:rsidP="00906D9A">
      <w:pPr>
        <w:spacing w:before="120" w:after="120" w:line="240" w:lineRule="auto"/>
        <w:rPr>
          <w:rFonts w:ascii="Comic Sans MS" w:hAnsi="Comic Sans MS"/>
        </w:rPr>
      </w:pPr>
      <w:r w:rsidRPr="005B4A62">
        <w:rPr>
          <w:rFonts w:ascii="Comic Sans MS" w:hAnsi="Comic Sans MS"/>
        </w:rPr>
        <w:t xml:space="preserve">I reserve the right to downgrade (including failing) any student who misses a significant number of </w:t>
      </w:r>
      <w:r w:rsidR="0021667D" w:rsidRPr="005B4A62">
        <w:rPr>
          <w:rFonts w:ascii="Comic Sans MS" w:hAnsi="Comic Sans MS"/>
        </w:rPr>
        <w:t>classes or</w:t>
      </w:r>
      <w:r w:rsidRPr="005B4A62">
        <w:rPr>
          <w:rFonts w:ascii="Comic Sans MS" w:hAnsi="Comic Sans MS"/>
        </w:rPr>
        <w:t xml:space="preserve"> does not complete all of the assignments</w:t>
      </w:r>
      <w:r w:rsidR="00621902">
        <w:rPr>
          <w:rFonts w:ascii="Comic Sans MS" w:hAnsi="Comic Sans MS"/>
        </w:rPr>
        <w:t xml:space="preserve">. </w:t>
      </w:r>
      <w:r w:rsidR="00FE1E46" w:rsidRPr="009C20D7">
        <w:rPr>
          <w:rFonts w:ascii="Comic Sans MS" w:hAnsi="Comic Sans MS"/>
        </w:rPr>
        <w:t>It is expected that your camera is on during class, unless t</w:t>
      </w:r>
      <w:r w:rsidR="009C20D7">
        <w:rPr>
          <w:rFonts w:ascii="Comic Sans MS" w:hAnsi="Comic Sans MS"/>
        </w:rPr>
        <w:t xml:space="preserve">here are special circumstances </w:t>
      </w:r>
      <w:r w:rsidR="00FE1E46" w:rsidRPr="009C20D7">
        <w:rPr>
          <w:rFonts w:ascii="Comic Sans MS" w:hAnsi="Comic Sans MS"/>
        </w:rPr>
        <w:t xml:space="preserve">which you should discuss with me in advance. </w:t>
      </w:r>
    </w:p>
    <w:p w:rsidR="009D5979" w:rsidRDefault="00835083" w:rsidP="00F86C3A">
      <w:pPr>
        <w:spacing w:before="120" w:after="120" w:line="240" w:lineRule="auto"/>
        <w:rPr>
          <w:rFonts w:ascii="Comic Sans MS" w:hAnsi="Comic Sans MS"/>
        </w:rPr>
      </w:pPr>
      <w:r w:rsidRPr="005B4A62">
        <w:rPr>
          <w:rFonts w:ascii="Comic Sans MS" w:hAnsi="Comic Sans MS"/>
        </w:rPr>
        <w:lastRenderedPageBreak/>
        <w:t xml:space="preserve">Notice that there is a Final </w:t>
      </w:r>
      <w:r w:rsidR="000C3044">
        <w:rPr>
          <w:rFonts w:ascii="Comic Sans MS" w:hAnsi="Comic Sans MS"/>
        </w:rPr>
        <w:t>Research Project</w:t>
      </w:r>
      <w:r w:rsidRPr="005B4A62">
        <w:rPr>
          <w:rFonts w:ascii="Comic Sans MS" w:hAnsi="Comic Sans MS"/>
        </w:rPr>
        <w:t xml:space="preserve"> in the Method of Evaluation.  The Final</w:t>
      </w:r>
      <w:r w:rsidR="000C3044">
        <w:rPr>
          <w:rFonts w:ascii="Comic Sans MS" w:hAnsi="Comic Sans MS"/>
        </w:rPr>
        <w:t xml:space="preserve"> Paper </w:t>
      </w:r>
      <w:r w:rsidR="0021667D">
        <w:rPr>
          <w:rFonts w:ascii="Comic Sans MS" w:hAnsi="Comic Sans MS"/>
        </w:rPr>
        <w:t>can</w:t>
      </w:r>
      <w:r w:rsidR="000C3044">
        <w:rPr>
          <w:rFonts w:ascii="Comic Sans MS" w:hAnsi="Comic Sans MS"/>
        </w:rPr>
        <w:t xml:space="preserve"> be </w:t>
      </w:r>
      <w:r w:rsidR="0021667D">
        <w:rPr>
          <w:rFonts w:ascii="Comic Sans MS" w:hAnsi="Comic Sans MS"/>
        </w:rPr>
        <w:t xml:space="preserve">worked </w:t>
      </w:r>
      <w:r w:rsidR="005E7A38">
        <w:rPr>
          <w:rFonts w:ascii="Comic Sans MS" w:hAnsi="Comic Sans MS"/>
        </w:rPr>
        <w:t xml:space="preserve">on </w:t>
      </w:r>
      <w:r w:rsidR="0021667D">
        <w:rPr>
          <w:rFonts w:ascii="Comic Sans MS" w:hAnsi="Comic Sans MS"/>
        </w:rPr>
        <w:t xml:space="preserve">by </w:t>
      </w:r>
      <w:r w:rsidR="005E7A38">
        <w:rPr>
          <w:rFonts w:ascii="Comic Sans MS" w:hAnsi="Comic Sans MS"/>
        </w:rPr>
        <w:t>your</w:t>
      </w:r>
      <w:r w:rsidR="0021667D">
        <w:rPr>
          <w:rFonts w:ascii="Comic Sans MS" w:hAnsi="Comic Sans MS"/>
        </w:rPr>
        <w:t xml:space="preserve"> group or individually </w:t>
      </w:r>
      <w:r w:rsidR="005E7A38">
        <w:rPr>
          <w:rFonts w:ascii="Comic Sans MS" w:hAnsi="Comic Sans MS"/>
        </w:rPr>
        <w:t xml:space="preserve">(expect the same amount of work either way) </w:t>
      </w:r>
      <w:r w:rsidR="000C3044">
        <w:rPr>
          <w:rFonts w:ascii="Comic Sans MS" w:hAnsi="Comic Sans MS"/>
        </w:rPr>
        <w:t xml:space="preserve">based on a topic of your choice related to </w:t>
      </w:r>
      <w:r w:rsidR="00086749">
        <w:rPr>
          <w:rFonts w:ascii="Comic Sans MS" w:hAnsi="Comic Sans MS"/>
        </w:rPr>
        <w:t>ESG Investing in Public Markets</w:t>
      </w:r>
      <w:r w:rsidR="000C3044">
        <w:rPr>
          <w:rFonts w:ascii="Comic Sans MS" w:hAnsi="Comic Sans MS"/>
        </w:rPr>
        <w:t xml:space="preserve">. </w:t>
      </w:r>
    </w:p>
    <w:p w:rsidR="008E4099" w:rsidRPr="000C7679" w:rsidRDefault="009A7350" w:rsidP="000C7679">
      <w:pPr>
        <w:keepNext/>
        <w:spacing w:after="120" w:line="240" w:lineRule="auto"/>
        <w:rPr>
          <w:rFonts w:ascii="Comic Sans MS" w:hAnsi="Comic Sans MS"/>
          <w:b/>
        </w:rPr>
      </w:pPr>
      <w:r>
        <w:rPr>
          <w:rFonts w:ascii="Comic Sans MS" w:hAnsi="Comic Sans MS"/>
          <w:b/>
        </w:rPr>
        <w:br/>
      </w:r>
      <w:r w:rsidR="00906D9A" w:rsidRPr="000C7679">
        <w:rPr>
          <w:rFonts w:ascii="Comic Sans MS" w:hAnsi="Comic Sans MS"/>
          <w:b/>
        </w:rPr>
        <w:t>COURSE OUTLINE</w:t>
      </w:r>
      <w:r w:rsidR="008E4099">
        <w:rPr>
          <w:rFonts w:ascii="Comic Sans MS" w:hAnsi="Comic Sans MS"/>
          <w:b/>
        </w:rPr>
        <w:br/>
      </w:r>
    </w:p>
    <w:p w:rsidR="00C15C73" w:rsidRPr="008E4099" w:rsidRDefault="008E4099" w:rsidP="00642F10">
      <w:pPr>
        <w:keepNext/>
        <w:tabs>
          <w:tab w:val="left" w:pos="540"/>
        </w:tabs>
        <w:spacing w:after="120" w:line="240" w:lineRule="auto"/>
        <w:rPr>
          <w:rFonts w:ascii="Comic Sans MS" w:hAnsi="Comic Sans MS"/>
        </w:rPr>
      </w:pPr>
      <w:r>
        <w:rPr>
          <w:rFonts w:ascii="Comic Sans MS" w:hAnsi="Comic Sans MS"/>
        </w:rPr>
        <w:t>1/2.</w:t>
      </w:r>
      <w:r>
        <w:rPr>
          <w:rFonts w:ascii="Comic Sans MS" w:hAnsi="Comic Sans MS"/>
        </w:rPr>
        <w:tab/>
      </w:r>
      <w:r w:rsidR="00FF3FC8" w:rsidRPr="008E4099">
        <w:rPr>
          <w:rFonts w:ascii="Comic Sans MS" w:hAnsi="Comic Sans MS"/>
        </w:rPr>
        <w:t>ESG Introduction/ESG Rating Agencies</w:t>
      </w:r>
      <w:r w:rsidR="00873FCA" w:rsidRPr="008E4099">
        <w:rPr>
          <w:rFonts w:ascii="Comic Sans MS" w:hAnsi="Comic Sans MS"/>
        </w:rPr>
        <w:t xml:space="preserve"> </w:t>
      </w:r>
      <w:r w:rsidR="008941A6" w:rsidRPr="008E4099">
        <w:rPr>
          <w:rFonts w:ascii="Comic Sans MS" w:hAnsi="Comic Sans MS"/>
        </w:rPr>
        <w:t>(03/08 &amp; 03/10)</w:t>
      </w:r>
    </w:p>
    <w:p w:rsidR="00FF3FC8" w:rsidRDefault="00B46E6A" w:rsidP="00FA6FFD">
      <w:pPr>
        <w:spacing w:after="120" w:line="240" w:lineRule="auto"/>
        <w:ind w:left="540"/>
        <w:rPr>
          <w:rFonts w:ascii="Comic Sans MS" w:hAnsi="Comic Sans MS"/>
        </w:rPr>
      </w:pPr>
      <w:r>
        <w:rPr>
          <w:rFonts w:ascii="Comic Sans MS" w:hAnsi="Comic Sans MS"/>
        </w:rPr>
        <w:t xml:space="preserve">After a quick review of the course structure, I introduce how </w:t>
      </w:r>
      <w:r w:rsidR="00FF3FC8">
        <w:rPr>
          <w:rFonts w:ascii="Comic Sans MS" w:hAnsi="Comic Sans MS"/>
        </w:rPr>
        <w:t xml:space="preserve">Environmental, Social and Governance factors influence investing in Equity Markets.  </w:t>
      </w:r>
      <w:r w:rsidR="00F86C3A">
        <w:rPr>
          <w:rFonts w:ascii="Comic Sans MS" w:hAnsi="Comic Sans MS"/>
        </w:rPr>
        <w:t>I</w:t>
      </w:r>
      <w:r w:rsidR="00FF3FC8">
        <w:rPr>
          <w:rFonts w:ascii="Comic Sans MS" w:hAnsi="Comic Sans MS"/>
        </w:rPr>
        <w:t xml:space="preserve"> then provide some historical perspective on how this process began </w:t>
      </w:r>
      <w:r w:rsidR="006E33E4">
        <w:rPr>
          <w:rFonts w:ascii="Comic Sans MS" w:hAnsi="Comic Sans MS"/>
        </w:rPr>
        <w:t xml:space="preserve">and </w:t>
      </w:r>
      <w:r w:rsidR="00FF3FC8">
        <w:rPr>
          <w:rFonts w:ascii="Comic Sans MS" w:hAnsi="Comic Sans MS"/>
        </w:rPr>
        <w:t xml:space="preserve">the </w:t>
      </w:r>
      <w:r w:rsidR="006E33E4">
        <w:rPr>
          <w:rFonts w:ascii="Comic Sans MS" w:hAnsi="Comic Sans MS"/>
        </w:rPr>
        <w:t xml:space="preserve">current size of the asset base following </w:t>
      </w:r>
      <w:r w:rsidR="009A7350">
        <w:rPr>
          <w:rFonts w:ascii="Comic Sans MS" w:hAnsi="Comic Sans MS"/>
        </w:rPr>
        <w:br/>
      </w:r>
      <w:r w:rsidR="006E33E4">
        <w:rPr>
          <w:rFonts w:ascii="Comic Sans MS" w:hAnsi="Comic Sans MS"/>
        </w:rPr>
        <w:t>ESG guidelines.</w:t>
      </w:r>
    </w:p>
    <w:p w:rsidR="00FF3FC8" w:rsidRDefault="00FF3FC8" w:rsidP="008E4099">
      <w:pPr>
        <w:spacing w:after="120" w:line="240" w:lineRule="auto"/>
        <w:rPr>
          <w:rFonts w:ascii="Comic Sans MS" w:hAnsi="Comic Sans MS"/>
        </w:rPr>
      </w:pPr>
    </w:p>
    <w:p w:rsidR="00873FCA" w:rsidRPr="00845896" w:rsidRDefault="00FF3FC8" w:rsidP="00FA6FFD">
      <w:pPr>
        <w:spacing w:after="120" w:line="240" w:lineRule="auto"/>
        <w:ind w:left="540"/>
        <w:rPr>
          <w:rFonts w:ascii="Comic Sans MS" w:hAnsi="Comic Sans MS"/>
        </w:rPr>
      </w:pPr>
      <w:r>
        <w:rPr>
          <w:rFonts w:ascii="Comic Sans MS" w:hAnsi="Comic Sans MS"/>
        </w:rPr>
        <w:t xml:space="preserve">We then </w:t>
      </w:r>
      <w:r w:rsidR="00500EAD">
        <w:rPr>
          <w:rFonts w:ascii="Comic Sans MS" w:hAnsi="Comic Sans MS"/>
        </w:rPr>
        <w:t xml:space="preserve">compare and contrast the different methodologies used to classify </w:t>
      </w:r>
      <w:r>
        <w:rPr>
          <w:rFonts w:ascii="Comic Sans MS" w:hAnsi="Comic Sans MS"/>
        </w:rPr>
        <w:t>public companies according to ESG standards</w:t>
      </w:r>
      <w:r w:rsidR="003D4FD0">
        <w:rPr>
          <w:rFonts w:ascii="Comic Sans MS" w:hAnsi="Comic Sans MS"/>
        </w:rPr>
        <w:t xml:space="preserve">. </w:t>
      </w:r>
      <w:r>
        <w:rPr>
          <w:rFonts w:ascii="Comic Sans MS" w:hAnsi="Comic Sans MS"/>
        </w:rPr>
        <w:t xml:space="preserve"> </w:t>
      </w:r>
      <w:r w:rsidR="004E121A">
        <w:rPr>
          <w:rFonts w:ascii="Comic Sans MS" w:hAnsi="Comic Sans MS"/>
        </w:rPr>
        <w:t xml:space="preserve"> </w:t>
      </w:r>
      <w:r>
        <w:rPr>
          <w:rFonts w:ascii="Comic Sans MS" w:hAnsi="Comic Sans MS"/>
        </w:rPr>
        <w:t xml:space="preserve">In this discussion we introduce the role of the </w:t>
      </w:r>
      <w:r w:rsidR="009A7350">
        <w:rPr>
          <w:rFonts w:ascii="Comic Sans MS" w:hAnsi="Comic Sans MS"/>
        </w:rPr>
        <w:br/>
      </w:r>
      <w:r>
        <w:rPr>
          <w:rFonts w:ascii="Comic Sans MS" w:hAnsi="Comic Sans MS"/>
        </w:rPr>
        <w:t xml:space="preserve">SASB (Sustainable Accounting Standards Board) as well as the United Nations </w:t>
      </w:r>
      <w:r w:rsidR="00B46E6A">
        <w:rPr>
          <w:rFonts w:ascii="Comic Sans MS" w:hAnsi="Comic Sans MS"/>
        </w:rPr>
        <w:t>Principals for Responsible Investment</w:t>
      </w:r>
      <w:r w:rsidR="009A7350">
        <w:rPr>
          <w:rFonts w:ascii="Comic Sans MS" w:hAnsi="Comic Sans MS"/>
        </w:rPr>
        <w:t>.</w:t>
      </w:r>
    </w:p>
    <w:p w:rsidR="00B46E6A" w:rsidRPr="00E068D2" w:rsidRDefault="00C15C73" w:rsidP="00FA6FFD">
      <w:pPr>
        <w:spacing w:after="0" w:line="240" w:lineRule="auto"/>
        <w:ind w:left="540"/>
        <w:rPr>
          <w:rFonts w:ascii="Comic Sans MS" w:hAnsi="Comic Sans MS"/>
        </w:rPr>
      </w:pPr>
      <w:r w:rsidRPr="00845896">
        <w:rPr>
          <w:rFonts w:ascii="Comic Sans MS" w:hAnsi="Comic Sans MS"/>
        </w:rPr>
        <w:t>Readings:</w:t>
      </w:r>
      <w:r w:rsidR="00FA6FFD">
        <w:rPr>
          <w:rFonts w:ascii="Comic Sans MS" w:hAnsi="Comic Sans MS"/>
        </w:rPr>
        <w:br/>
      </w:r>
    </w:p>
    <w:p w:rsidR="00667B15" w:rsidRDefault="00667B15" w:rsidP="00FA6FFD">
      <w:pPr>
        <w:pStyle w:val="BodyText2"/>
        <w:numPr>
          <w:ilvl w:val="0"/>
          <w:numId w:val="5"/>
        </w:numPr>
        <w:tabs>
          <w:tab w:val="clear" w:pos="1800"/>
        </w:tabs>
        <w:ind w:left="900"/>
        <w:rPr>
          <w:sz w:val="22"/>
          <w:szCs w:val="22"/>
        </w:rPr>
      </w:pPr>
      <w:r>
        <w:rPr>
          <w:sz w:val="22"/>
          <w:szCs w:val="22"/>
        </w:rPr>
        <w:t>On Climate and Conscious (Blair)</w:t>
      </w:r>
    </w:p>
    <w:p w:rsidR="006D5BC9" w:rsidRPr="00DB0AD5" w:rsidRDefault="00F82964" w:rsidP="00FA6FFD">
      <w:pPr>
        <w:pStyle w:val="BodyText2"/>
        <w:numPr>
          <w:ilvl w:val="0"/>
          <w:numId w:val="5"/>
        </w:numPr>
        <w:tabs>
          <w:tab w:val="clear" w:pos="1800"/>
        </w:tabs>
        <w:ind w:left="900"/>
        <w:rPr>
          <w:sz w:val="22"/>
          <w:szCs w:val="22"/>
        </w:rPr>
      </w:pPr>
      <w:r>
        <w:rPr>
          <w:sz w:val="22"/>
          <w:szCs w:val="22"/>
        </w:rPr>
        <w:t>Four Things No One Will Tell You About ESG Data</w:t>
      </w:r>
      <w:r w:rsidR="00945597">
        <w:rPr>
          <w:sz w:val="22"/>
          <w:szCs w:val="22"/>
        </w:rPr>
        <w:t xml:space="preserve"> (</w:t>
      </w:r>
      <w:proofErr w:type="spellStart"/>
      <w:r w:rsidR="00945597">
        <w:rPr>
          <w:sz w:val="22"/>
          <w:szCs w:val="22"/>
        </w:rPr>
        <w:t>Kotsantonis</w:t>
      </w:r>
      <w:proofErr w:type="spellEnd"/>
      <w:r w:rsidR="00945597">
        <w:rPr>
          <w:sz w:val="22"/>
          <w:szCs w:val="22"/>
        </w:rPr>
        <w:t xml:space="preserve">, </w:t>
      </w:r>
      <w:proofErr w:type="spellStart"/>
      <w:r w:rsidR="00945597">
        <w:rPr>
          <w:sz w:val="22"/>
          <w:szCs w:val="22"/>
        </w:rPr>
        <w:t>Serafeim</w:t>
      </w:r>
      <w:proofErr w:type="spellEnd"/>
      <w:r w:rsidR="00945597">
        <w:rPr>
          <w:sz w:val="22"/>
          <w:szCs w:val="22"/>
        </w:rPr>
        <w:t>)</w:t>
      </w:r>
    </w:p>
    <w:p w:rsidR="003C4EEB" w:rsidRDefault="003C4EEB" w:rsidP="00FA6FFD">
      <w:pPr>
        <w:pStyle w:val="BodyText2"/>
        <w:numPr>
          <w:ilvl w:val="0"/>
          <w:numId w:val="5"/>
        </w:numPr>
        <w:tabs>
          <w:tab w:val="clear" w:pos="1800"/>
        </w:tabs>
        <w:ind w:left="900"/>
        <w:rPr>
          <w:sz w:val="22"/>
          <w:szCs w:val="22"/>
        </w:rPr>
      </w:pPr>
      <w:r>
        <w:rPr>
          <w:sz w:val="22"/>
          <w:szCs w:val="22"/>
        </w:rPr>
        <w:t>The Devil is in the Details (</w:t>
      </w:r>
      <w:proofErr w:type="spellStart"/>
      <w:r>
        <w:rPr>
          <w:sz w:val="22"/>
          <w:szCs w:val="22"/>
        </w:rPr>
        <w:t>LaBella</w:t>
      </w:r>
      <w:proofErr w:type="spellEnd"/>
      <w:r>
        <w:rPr>
          <w:sz w:val="22"/>
          <w:szCs w:val="22"/>
        </w:rPr>
        <w:t xml:space="preserve">, Sullivan, Russell, </w:t>
      </w:r>
      <w:proofErr w:type="spellStart"/>
      <w:r>
        <w:rPr>
          <w:sz w:val="22"/>
          <w:szCs w:val="22"/>
        </w:rPr>
        <w:t>Novikov</w:t>
      </w:r>
      <w:proofErr w:type="spellEnd"/>
      <w:r>
        <w:rPr>
          <w:sz w:val="22"/>
          <w:szCs w:val="22"/>
        </w:rPr>
        <w:t>)</w:t>
      </w:r>
    </w:p>
    <w:p w:rsidR="00642F10" w:rsidRDefault="001B62B0" w:rsidP="00FA6FFD">
      <w:pPr>
        <w:pStyle w:val="BodyText2"/>
        <w:numPr>
          <w:ilvl w:val="0"/>
          <w:numId w:val="5"/>
        </w:numPr>
        <w:tabs>
          <w:tab w:val="clear" w:pos="1800"/>
        </w:tabs>
        <w:ind w:left="900"/>
        <w:rPr>
          <w:sz w:val="22"/>
          <w:szCs w:val="22"/>
        </w:rPr>
      </w:pPr>
      <w:r>
        <w:rPr>
          <w:sz w:val="22"/>
          <w:szCs w:val="22"/>
        </w:rPr>
        <w:t>MSCI ESG Ratings Methodology (MSCI)</w:t>
      </w:r>
    </w:p>
    <w:p w:rsidR="00E068D2" w:rsidRPr="00642F10" w:rsidRDefault="00677773" w:rsidP="00FA6FFD">
      <w:pPr>
        <w:pStyle w:val="BodyText2"/>
        <w:numPr>
          <w:ilvl w:val="0"/>
          <w:numId w:val="5"/>
        </w:numPr>
        <w:tabs>
          <w:tab w:val="clear" w:pos="1800"/>
        </w:tabs>
        <w:ind w:left="900"/>
        <w:rPr>
          <w:sz w:val="22"/>
          <w:szCs w:val="22"/>
        </w:rPr>
      </w:pPr>
      <w:r w:rsidRPr="001E5288">
        <w:t>Measur</w:t>
      </w:r>
      <w:r w:rsidR="00642F10">
        <w:t xml:space="preserve">ing Unethical Behavior: </w:t>
      </w:r>
      <w:proofErr w:type="spellStart"/>
      <w:r w:rsidR="00642F10">
        <w:t>Rigobon</w:t>
      </w:r>
      <w:proofErr w:type="spellEnd"/>
      <w:r w:rsidR="00642F10">
        <w:t xml:space="preserve"> </w:t>
      </w:r>
      <w:r w:rsidR="00642F10" w:rsidRPr="00642F10">
        <w:rPr>
          <w:sz w:val="18"/>
          <w:szCs w:val="18"/>
        </w:rPr>
        <w:t>(</w:t>
      </w:r>
      <w:hyperlink r:id="rId9" w:history="1">
        <w:r w:rsidR="00945597" w:rsidRPr="00642F10">
          <w:rPr>
            <w:rStyle w:val="Hyperlink"/>
            <w:sz w:val="18"/>
            <w:szCs w:val="18"/>
          </w:rPr>
          <w:t>https://www.statestreet.com/events/statestreetlive/stt-live-esg-forum-2019/roberto-rigobon.html</w:t>
        </w:r>
      </w:hyperlink>
      <w:r w:rsidR="00642F10" w:rsidRPr="00642F10">
        <w:rPr>
          <w:rStyle w:val="Hyperlink"/>
          <w:sz w:val="18"/>
          <w:szCs w:val="18"/>
        </w:rPr>
        <w:t>)</w:t>
      </w:r>
      <w:r w:rsidR="00FB0BA3" w:rsidRPr="00642F10">
        <w:rPr>
          <w:sz w:val="22"/>
          <w:szCs w:val="22"/>
        </w:rPr>
        <w:br/>
      </w:r>
    </w:p>
    <w:p w:rsidR="00E068D2" w:rsidRDefault="00E068D2" w:rsidP="00FA6FFD">
      <w:pPr>
        <w:pStyle w:val="BodyText2"/>
        <w:ind w:left="540" w:firstLine="0"/>
      </w:pPr>
      <w:r>
        <w:t>Advanced Reading:</w:t>
      </w:r>
    </w:p>
    <w:p w:rsidR="00E068D2" w:rsidRDefault="00E068D2" w:rsidP="00FA6FFD">
      <w:pPr>
        <w:pStyle w:val="BodyText2"/>
        <w:ind w:left="540" w:firstLine="0"/>
        <w:rPr>
          <w:sz w:val="22"/>
          <w:szCs w:val="22"/>
        </w:rPr>
      </w:pPr>
      <w:r>
        <w:t xml:space="preserve">* </w:t>
      </w:r>
      <w:r>
        <w:rPr>
          <w:sz w:val="22"/>
          <w:szCs w:val="22"/>
        </w:rPr>
        <w:t xml:space="preserve">Aggregate Confusion: The Divergence of ESG Ratings (Berg, </w:t>
      </w:r>
      <w:proofErr w:type="spellStart"/>
      <w:r>
        <w:rPr>
          <w:sz w:val="22"/>
          <w:szCs w:val="22"/>
        </w:rPr>
        <w:t>Koelbel</w:t>
      </w:r>
      <w:proofErr w:type="spellEnd"/>
      <w:r>
        <w:rPr>
          <w:sz w:val="22"/>
          <w:szCs w:val="22"/>
        </w:rPr>
        <w:t xml:space="preserve"> and </w:t>
      </w:r>
      <w:proofErr w:type="spellStart"/>
      <w:r>
        <w:rPr>
          <w:sz w:val="22"/>
          <w:szCs w:val="22"/>
        </w:rPr>
        <w:t>Rigobon</w:t>
      </w:r>
      <w:proofErr w:type="spellEnd"/>
      <w:r w:rsidR="005E7A38">
        <w:rPr>
          <w:sz w:val="22"/>
          <w:szCs w:val="22"/>
        </w:rPr>
        <w:t>)</w:t>
      </w:r>
    </w:p>
    <w:p w:rsidR="008E4099" w:rsidRDefault="008E4099" w:rsidP="008E4099">
      <w:pPr>
        <w:keepNext/>
        <w:tabs>
          <w:tab w:val="left" w:pos="1260"/>
        </w:tabs>
        <w:spacing w:after="120" w:line="240" w:lineRule="auto"/>
        <w:rPr>
          <w:rFonts w:ascii="Comic Sans MS" w:eastAsia="Times New Roman" w:hAnsi="Comic Sans MS" w:cs="Times New Roman"/>
          <w:sz w:val="24"/>
          <w:szCs w:val="20"/>
        </w:rPr>
      </w:pPr>
    </w:p>
    <w:p w:rsidR="008D581E" w:rsidRPr="008E4099" w:rsidRDefault="00642F10" w:rsidP="00642F10">
      <w:pPr>
        <w:keepNext/>
        <w:tabs>
          <w:tab w:val="left" w:pos="540"/>
        </w:tabs>
        <w:spacing w:after="120" w:line="240" w:lineRule="auto"/>
        <w:rPr>
          <w:rFonts w:ascii="Comic Sans MS" w:hAnsi="Comic Sans MS"/>
        </w:rPr>
      </w:pPr>
      <w:r>
        <w:rPr>
          <w:rFonts w:ascii="Comic Sans MS" w:hAnsi="Comic Sans MS"/>
        </w:rPr>
        <w:t>3/4.</w:t>
      </w:r>
      <w:r>
        <w:rPr>
          <w:rFonts w:ascii="Comic Sans MS" w:hAnsi="Comic Sans MS"/>
        </w:rPr>
        <w:tab/>
      </w:r>
      <w:r w:rsidR="006216FF" w:rsidRPr="008E4099">
        <w:rPr>
          <w:rFonts w:ascii="Comic Sans MS" w:hAnsi="Comic Sans MS"/>
        </w:rPr>
        <w:t>How ESG Investing Impacts Performance, Risk and Cost</w:t>
      </w:r>
      <w:r w:rsidR="008941A6" w:rsidRPr="008E4099">
        <w:rPr>
          <w:rFonts w:ascii="Comic Sans MS" w:hAnsi="Comic Sans MS"/>
        </w:rPr>
        <w:t xml:space="preserve"> (03/15 &amp; 03/18)</w:t>
      </w:r>
    </w:p>
    <w:p w:rsidR="003C0398" w:rsidRDefault="006A4ADE" w:rsidP="00FA6FFD">
      <w:pPr>
        <w:spacing w:after="120" w:line="240" w:lineRule="auto"/>
        <w:ind w:left="540"/>
        <w:rPr>
          <w:rFonts w:ascii="Comic Sans MS" w:hAnsi="Comic Sans MS"/>
        </w:rPr>
      </w:pPr>
      <w:r>
        <w:rPr>
          <w:rFonts w:ascii="Comic Sans MS" w:hAnsi="Comic Sans MS"/>
        </w:rPr>
        <w:t xml:space="preserve">Any institution considering establishing an ESG policy should start by defining </w:t>
      </w:r>
      <w:r w:rsidR="00FB2966">
        <w:rPr>
          <w:rFonts w:ascii="Comic Sans MS" w:hAnsi="Comic Sans MS"/>
        </w:rPr>
        <w:t>its</w:t>
      </w:r>
      <w:r>
        <w:rPr>
          <w:rFonts w:ascii="Comic Sans MS" w:hAnsi="Comic Sans MS"/>
        </w:rPr>
        <w:t xml:space="preserve"> goal</w:t>
      </w:r>
      <w:r w:rsidR="00FB2966">
        <w:rPr>
          <w:rFonts w:ascii="Comic Sans MS" w:hAnsi="Comic Sans MS"/>
        </w:rPr>
        <w:t>s.</w:t>
      </w:r>
      <w:r w:rsidR="003C0398">
        <w:rPr>
          <w:rFonts w:ascii="Comic Sans MS" w:hAnsi="Comic Sans MS"/>
        </w:rPr>
        <w:t xml:space="preserve">  If you believe the </w:t>
      </w:r>
      <w:r>
        <w:rPr>
          <w:rFonts w:ascii="Comic Sans MS" w:hAnsi="Comic Sans MS"/>
        </w:rPr>
        <w:t>policy will</w:t>
      </w:r>
      <w:r w:rsidR="009A7350">
        <w:rPr>
          <w:rFonts w:ascii="Comic Sans MS" w:hAnsi="Comic Sans MS"/>
        </w:rPr>
        <w:t xml:space="preserve"> </w:t>
      </w:r>
      <w:r w:rsidR="000D76B7">
        <w:rPr>
          <w:rFonts w:ascii="Comic Sans MS" w:hAnsi="Comic Sans MS"/>
        </w:rPr>
        <w:t>improve</w:t>
      </w:r>
      <w:r w:rsidR="009A7350">
        <w:rPr>
          <w:rFonts w:ascii="Comic Sans MS" w:hAnsi="Comic Sans MS"/>
        </w:rPr>
        <w:t xml:space="preserve"> risk adjusted</w:t>
      </w:r>
      <w:r w:rsidR="003C0398">
        <w:rPr>
          <w:rFonts w:ascii="Comic Sans MS" w:hAnsi="Comic Sans MS"/>
        </w:rPr>
        <w:t xml:space="preserve"> return, then it is an easy decision, you are doing well by doing </w:t>
      </w:r>
      <w:proofErr w:type="gramStart"/>
      <w:r w:rsidR="003C0398">
        <w:rPr>
          <w:rFonts w:ascii="Comic Sans MS" w:hAnsi="Comic Sans MS"/>
        </w:rPr>
        <w:t>good</w:t>
      </w:r>
      <w:proofErr w:type="gramEnd"/>
      <w:r w:rsidR="003C0398">
        <w:rPr>
          <w:rFonts w:ascii="Comic Sans MS" w:hAnsi="Comic Sans MS"/>
        </w:rPr>
        <w:t>.</w:t>
      </w:r>
    </w:p>
    <w:p w:rsidR="00CE3F3B" w:rsidRDefault="00E36F3E" w:rsidP="00FA6FFD">
      <w:pPr>
        <w:spacing w:after="120" w:line="240" w:lineRule="auto"/>
        <w:ind w:left="540"/>
        <w:rPr>
          <w:rFonts w:ascii="Comic Sans MS" w:hAnsi="Comic Sans MS"/>
        </w:rPr>
      </w:pPr>
      <w:r>
        <w:rPr>
          <w:rFonts w:ascii="Comic Sans MS" w:hAnsi="Comic Sans MS"/>
        </w:rPr>
        <w:t xml:space="preserve">However, for those </w:t>
      </w:r>
      <w:r w:rsidR="000D76B7">
        <w:rPr>
          <w:rFonts w:ascii="Comic Sans MS" w:hAnsi="Comic Sans MS"/>
        </w:rPr>
        <w:t>are not confident that is the case</w:t>
      </w:r>
      <w:r>
        <w:rPr>
          <w:rFonts w:ascii="Comic Sans MS" w:hAnsi="Comic Sans MS"/>
        </w:rPr>
        <w:t xml:space="preserve">, perhaps there is a cost to </w:t>
      </w:r>
      <w:r w:rsidR="00CE3F3B">
        <w:rPr>
          <w:rFonts w:ascii="Comic Sans MS" w:hAnsi="Comic Sans MS"/>
        </w:rPr>
        <w:t>own a</w:t>
      </w:r>
      <w:r w:rsidR="00FB2966">
        <w:rPr>
          <w:rFonts w:ascii="Comic Sans MS" w:hAnsi="Comic Sans MS"/>
        </w:rPr>
        <w:t>n</w:t>
      </w:r>
      <w:r w:rsidR="00CE3F3B">
        <w:rPr>
          <w:rFonts w:ascii="Comic Sans MS" w:hAnsi="Comic Sans MS"/>
        </w:rPr>
        <w:t xml:space="preserve"> equity portfolio that better reflects your values.  Is it possible to measure the cost?</w:t>
      </w:r>
    </w:p>
    <w:p w:rsidR="00E65C09" w:rsidRDefault="00CE3F3B" w:rsidP="00FA6FFD">
      <w:pPr>
        <w:spacing w:after="120" w:line="240" w:lineRule="auto"/>
        <w:ind w:left="540"/>
        <w:rPr>
          <w:rFonts w:ascii="Comic Sans MS" w:hAnsi="Comic Sans MS"/>
        </w:rPr>
      </w:pPr>
      <w:r>
        <w:rPr>
          <w:rFonts w:ascii="Comic Sans MS" w:hAnsi="Comic Sans MS"/>
        </w:rPr>
        <w:t>This class attempts to answer the question theoretically and empirically.  Drawing on what you’ve studied in Capital Markets</w:t>
      </w:r>
      <w:r w:rsidR="00E65C09">
        <w:rPr>
          <w:rFonts w:ascii="Comic Sans MS" w:hAnsi="Comic Sans MS"/>
        </w:rPr>
        <w:t xml:space="preserve"> we look at the systematic and non-systematic risks o</w:t>
      </w:r>
      <w:r w:rsidR="009A7350">
        <w:rPr>
          <w:rFonts w:ascii="Comic Sans MS" w:hAnsi="Comic Sans MS"/>
        </w:rPr>
        <w:t>f an ESG portfolio to determine</w:t>
      </w:r>
      <w:r w:rsidR="00E65C09">
        <w:rPr>
          <w:rFonts w:ascii="Comic Sans MS" w:hAnsi="Comic Sans MS"/>
        </w:rPr>
        <w:t xml:space="preserve"> what “Alpha” is needed to justify the cost.</w:t>
      </w:r>
    </w:p>
    <w:p w:rsidR="008D581E" w:rsidRPr="00845896" w:rsidRDefault="00E65C09" w:rsidP="00FA6FFD">
      <w:pPr>
        <w:spacing w:after="120" w:line="240" w:lineRule="auto"/>
        <w:ind w:left="540"/>
        <w:rPr>
          <w:rFonts w:ascii="Comic Sans MS" w:hAnsi="Comic Sans MS"/>
        </w:rPr>
      </w:pPr>
      <w:r>
        <w:rPr>
          <w:rFonts w:ascii="Comic Sans MS" w:hAnsi="Comic Sans MS"/>
        </w:rPr>
        <w:lastRenderedPageBreak/>
        <w:t>Empirically, I try to summarize the literature on performance of ESG funds versus their unrestricted counterparts.  Finally, I look at the fee differences between ESG and non-ESG funds</w:t>
      </w:r>
      <w:r w:rsidR="00820B48">
        <w:rPr>
          <w:rFonts w:ascii="Comic Sans MS" w:hAnsi="Comic Sans MS"/>
        </w:rPr>
        <w:t>.</w:t>
      </w:r>
    </w:p>
    <w:p w:rsidR="008D581E" w:rsidRDefault="00B46E6A" w:rsidP="00FA6FFD">
      <w:pPr>
        <w:spacing w:after="120" w:line="240" w:lineRule="auto"/>
        <w:ind w:left="540"/>
        <w:rPr>
          <w:rFonts w:ascii="Comic Sans MS" w:hAnsi="Comic Sans MS"/>
        </w:rPr>
      </w:pPr>
      <w:r>
        <w:rPr>
          <w:rFonts w:ascii="Comic Sans MS" w:hAnsi="Comic Sans MS"/>
        </w:rPr>
        <w:t>Readings:</w:t>
      </w:r>
    </w:p>
    <w:p w:rsidR="00642F10" w:rsidRDefault="00B46E6A" w:rsidP="00FA6FFD">
      <w:pPr>
        <w:pStyle w:val="BodyText2"/>
        <w:numPr>
          <w:ilvl w:val="0"/>
          <w:numId w:val="5"/>
        </w:numPr>
        <w:tabs>
          <w:tab w:val="clear" w:pos="1800"/>
        </w:tabs>
        <w:ind w:left="900"/>
        <w:rPr>
          <w:sz w:val="22"/>
          <w:szCs w:val="22"/>
        </w:rPr>
      </w:pPr>
      <w:r w:rsidRPr="009A7350">
        <w:rPr>
          <w:sz w:val="22"/>
          <w:szCs w:val="22"/>
        </w:rPr>
        <w:t>Sustainable Reality (Morgan Stanley)</w:t>
      </w:r>
    </w:p>
    <w:p w:rsidR="001B57CF" w:rsidRPr="00642F10" w:rsidRDefault="001B57CF" w:rsidP="00FA6FFD">
      <w:pPr>
        <w:pStyle w:val="BodyText2"/>
        <w:numPr>
          <w:ilvl w:val="0"/>
          <w:numId w:val="5"/>
        </w:numPr>
        <w:tabs>
          <w:tab w:val="clear" w:pos="1800"/>
        </w:tabs>
        <w:ind w:left="900"/>
        <w:rPr>
          <w:sz w:val="22"/>
          <w:szCs w:val="22"/>
        </w:rPr>
      </w:pPr>
      <w:r w:rsidRPr="00642F10">
        <w:rPr>
          <w:sz w:val="22"/>
          <w:szCs w:val="22"/>
        </w:rPr>
        <w:t>Fiduciary Duty in the 21</w:t>
      </w:r>
      <w:r w:rsidRPr="00642F10">
        <w:rPr>
          <w:sz w:val="22"/>
          <w:szCs w:val="22"/>
          <w:vertAlign w:val="superscript"/>
        </w:rPr>
        <w:t>st</w:t>
      </w:r>
      <w:r w:rsidR="00642F10">
        <w:rPr>
          <w:sz w:val="22"/>
          <w:szCs w:val="22"/>
        </w:rPr>
        <w:t xml:space="preserve"> Century (</w:t>
      </w:r>
      <w:hyperlink r:id="rId10" w:history="1">
        <w:r w:rsidRPr="00642F10">
          <w:rPr>
            <w:rStyle w:val="Hyperlink"/>
            <w:sz w:val="22"/>
            <w:szCs w:val="22"/>
          </w:rPr>
          <w:t>https://www.unpri.org/fiduciary-duty-in-the-21st-century-final-report/4998.article</w:t>
        </w:r>
      </w:hyperlink>
      <w:r w:rsidR="00642F10">
        <w:rPr>
          <w:rStyle w:val="Hyperlink"/>
          <w:sz w:val="22"/>
          <w:szCs w:val="22"/>
        </w:rPr>
        <w:t>)</w:t>
      </w:r>
      <w:r w:rsidRPr="00642F10">
        <w:rPr>
          <w:sz w:val="22"/>
          <w:szCs w:val="22"/>
        </w:rPr>
        <w:t xml:space="preserve">, </w:t>
      </w:r>
      <w:r w:rsidR="00ED2827" w:rsidRPr="00642F10">
        <w:rPr>
          <w:sz w:val="22"/>
          <w:szCs w:val="22"/>
        </w:rPr>
        <w:t>Princ</w:t>
      </w:r>
      <w:r w:rsidR="00820B48" w:rsidRPr="00642F10">
        <w:rPr>
          <w:sz w:val="22"/>
          <w:szCs w:val="22"/>
        </w:rPr>
        <w:t>ipals for Responsible Investment</w:t>
      </w:r>
    </w:p>
    <w:p w:rsidR="00137DB7" w:rsidRPr="00642F10" w:rsidRDefault="00A014E5" w:rsidP="00FA6FFD">
      <w:pPr>
        <w:pStyle w:val="BodyText2"/>
        <w:numPr>
          <w:ilvl w:val="0"/>
          <w:numId w:val="5"/>
        </w:numPr>
        <w:tabs>
          <w:tab w:val="clear" w:pos="1800"/>
        </w:tabs>
        <w:ind w:left="900"/>
        <w:rPr>
          <w:sz w:val="22"/>
          <w:szCs w:val="22"/>
        </w:rPr>
      </w:pPr>
      <w:r w:rsidRPr="00820B48">
        <w:rPr>
          <w:sz w:val="22"/>
          <w:szCs w:val="22"/>
        </w:rPr>
        <w:t>Public Sentiment and the Price of Corporate Sustainability (</w:t>
      </w:r>
      <w:proofErr w:type="spellStart"/>
      <w:r w:rsidRPr="00820B48">
        <w:rPr>
          <w:sz w:val="22"/>
          <w:szCs w:val="22"/>
        </w:rPr>
        <w:t>Serafeim</w:t>
      </w:r>
      <w:proofErr w:type="spellEnd"/>
      <w:r w:rsidRPr="00820B48">
        <w:rPr>
          <w:sz w:val="22"/>
          <w:szCs w:val="22"/>
        </w:rPr>
        <w:t>)</w:t>
      </w:r>
      <w:r w:rsidR="00642F10">
        <w:rPr>
          <w:sz w:val="22"/>
          <w:szCs w:val="22"/>
        </w:rPr>
        <w:t xml:space="preserve"> (</w:t>
      </w:r>
      <w:hyperlink r:id="rId11" w:history="1">
        <w:r w:rsidR="000F3E3D" w:rsidRPr="00642F10">
          <w:rPr>
            <w:rStyle w:val="Hyperlink"/>
            <w:sz w:val="22"/>
            <w:szCs w:val="22"/>
          </w:rPr>
          <w:t>https://www.statestreet.com/events/statestreetlive/stt-live-esg-forum-2019/george-serafeim.html</w:t>
        </w:r>
      </w:hyperlink>
      <w:r w:rsidR="00642F10">
        <w:rPr>
          <w:rStyle w:val="Hyperlink"/>
          <w:sz w:val="22"/>
          <w:szCs w:val="22"/>
        </w:rPr>
        <w:t>)</w:t>
      </w:r>
    </w:p>
    <w:p w:rsidR="006F76A4" w:rsidRDefault="006F76A4" w:rsidP="00642F10">
      <w:pPr>
        <w:pStyle w:val="BodyText2"/>
        <w:ind w:left="1800" w:firstLine="0"/>
        <w:rPr>
          <w:sz w:val="22"/>
          <w:szCs w:val="22"/>
        </w:rPr>
      </w:pPr>
    </w:p>
    <w:p w:rsidR="00642F10" w:rsidRPr="006F76A4" w:rsidRDefault="00642F10" w:rsidP="00642F10">
      <w:pPr>
        <w:pStyle w:val="BodyText2"/>
        <w:ind w:left="1800" w:firstLine="0"/>
        <w:rPr>
          <w:sz w:val="22"/>
          <w:szCs w:val="22"/>
        </w:rPr>
      </w:pPr>
    </w:p>
    <w:p w:rsidR="005D0143" w:rsidRPr="00845896" w:rsidRDefault="008941A6" w:rsidP="00642F10">
      <w:pPr>
        <w:keepNext/>
        <w:tabs>
          <w:tab w:val="left" w:pos="540"/>
        </w:tabs>
        <w:spacing w:after="120" w:line="240" w:lineRule="auto"/>
        <w:rPr>
          <w:rFonts w:ascii="Comic Sans MS" w:hAnsi="Comic Sans MS"/>
        </w:rPr>
      </w:pPr>
      <w:r>
        <w:rPr>
          <w:rFonts w:ascii="Comic Sans MS" w:hAnsi="Comic Sans MS"/>
        </w:rPr>
        <w:t>5/6</w:t>
      </w:r>
      <w:r w:rsidR="005D0143" w:rsidRPr="00845896">
        <w:rPr>
          <w:rFonts w:ascii="Comic Sans MS" w:hAnsi="Comic Sans MS"/>
        </w:rPr>
        <w:t>.</w:t>
      </w:r>
      <w:r w:rsidR="005D0143" w:rsidRPr="00845896">
        <w:rPr>
          <w:rFonts w:ascii="Comic Sans MS" w:hAnsi="Comic Sans MS"/>
        </w:rPr>
        <w:tab/>
      </w:r>
      <w:r w:rsidR="00D63A21">
        <w:rPr>
          <w:rFonts w:ascii="Comic Sans MS" w:hAnsi="Comic Sans MS"/>
        </w:rPr>
        <w:t>Passive Investing in ESG – Indices and Exchange Traded Funds</w:t>
      </w:r>
      <w:r>
        <w:rPr>
          <w:rFonts w:ascii="Comic Sans MS" w:hAnsi="Comic Sans MS"/>
        </w:rPr>
        <w:t xml:space="preserve"> (03/22 &amp; 03/24)</w:t>
      </w:r>
    </w:p>
    <w:p w:rsidR="00D63A21" w:rsidRPr="00642F10" w:rsidRDefault="00D63A21" w:rsidP="00FA6FFD">
      <w:pPr>
        <w:ind w:left="540"/>
        <w:rPr>
          <w:rFonts w:ascii="Comic Sans MS" w:hAnsi="Comic Sans MS"/>
        </w:rPr>
      </w:pPr>
      <w:r w:rsidRPr="00642F10">
        <w:rPr>
          <w:rFonts w:ascii="Comic Sans MS" w:hAnsi="Comic Sans MS"/>
        </w:rPr>
        <w:t xml:space="preserve">Investors looking for a </w:t>
      </w:r>
      <w:r w:rsidR="002E748E" w:rsidRPr="00642F10">
        <w:rPr>
          <w:rFonts w:ascii="Comic Sans MS" w:hAnsi="Comic Sans MS"/>
        </w:rPr>
        <w:t>low-cost</w:t>
      </w:r>
      <w:r w:rsidRPr="00642F10">
        <w:rPr>
          <w:rFonts w:ascii="Comic Sans MS" w:hAnsi="Comic Sans MS"/>
        </w:rPr>
        <w:t xml:space="preserve"> way to </w:t>
      </w:r>
      <w:r w:rsidR="0021667D" w:rsidRPr="00642F10">
        <w:rPr>
          <w:rFonts w:ascii="Comic Sans MS" w:hAnsi="Comic Sans MS"/>
        </w:rPr>
        <w:t>obtain</w:t>
      </w:r>
      <w:r w:rsidRPr="00642F10">
        <w:rPr>
          <w:rFonts w:ascii="Comic Sans MS" w:hAnsi="Comic Sans MS"/>
        </w:rPr>
        <w:t xml:space="preserve"> ESG equity exposure can look to a fund designed to track an ESG index. We start class by comparing and contrasting the different ESG indices which will tie to our earlier work on ESG classification systems.  We then move the use of Exchange Traded Funds (ETFs) on ESG Indices, a popular vehicle for investors </w:t>
      </w:r>
    </w:p>
    <w:p w:rsidR="005D0143" w:rsidRPr="00845896" w:rsidRDefault="00D63A21" w:rsidP="00FA6FFD">
      <w:pPr>
        <w:spacing w:after="120" w:line="240" w:lineRule="auto"/>
        <w:ind w:left="540"/>
        <w:rPr>
          <w:rFonts w:ascii="Comic Sans MS" w:hAnsi="Comic Sans MS"/>
        </w:rPr>
      </w:pPr>
      <w:r>
        <w:rPr>
          <w:rFonts w:ascii="Comic Sans MS" w:hAnsi="Comic Sans MS"/>
        </w:rPr>
        <w:t>A</w:t>
      </w:r>
      <w:r w:rsidR="0021667D">
        <w:rPr>
          <w:rFonts w:ascii="Comic Sans MS" w:hAnsi="Comic Sans MS"/>
        </w:rPr>
        <w:t xml:space="preserve"> guest speaker</w:t>
      </w:r>
      <w:r>
        <w:rPr>
          <w:rFonts w:ascii="Comic Sans MS" w:hAnsi="Comic Sans MS"/>
        </w:rPr>
        <w:t xml:space="preserve"> will </w:t>
      </w:r>
      <w:r w:rsidR="002E748E">
        <w:rPr>
          <w:rFonts w:ascii="Comic Sans MS" w:hAnsi="Comic Sans MS"/>
        </w:rPr>
        <w:t xml:space="preserve">then </w:t>
      </w:r>
      <w:r>
        <w:rPr>
          <w:rFonts w:ascii="Comic Sans MS" w:hAnsi="Comic Sans MS"/>
        </w:rPr>
        <w:t>discuss how they use ESG based ETFs in their Fund.</w:t>
      </w:r>
    </w:p>
    <w:p w:rsidR="005D0143" w:rsidRPr="00845896" w:rsidRDefault="00FA6FFD" w:rsidP="00FA6FFD">
      <w:pPr>
        <w:tabs>
          <w:tab w:val="left" w:pos="2340"/>
        </w:tabs>
        <w:spacing w:after="120" w:line="240" w:lineRule="auto"/>
        <w:ind w:left="540" w:hanging="540"/>
        <w:rPr>
          <w:rFonts w:ascii="Comic Sans MS" w:hAnsi="Comic Sans MS"/>
        </w:rPr>
      </w:pPr>
      <w:r>
        <w:rPr>
          <w:rFonts w:ascii="Comic Sans MS" w:hAnsi="Comic Sans MS"/>
        </w:rPr>
        <w:tab/>
      </w:r>
      <w:r w:rsidR="005D0143" w:rsidRPr="00845896">
        <w:rPr>
          <w:rFonts w:ascii="Comic Sans MS" w:hAnsi="Comic Sans MS"/>
        </w:rPr>
        <w:t>Readings:</w:t>
      </w:r>
    </w:p>
    <w:p w:rsidR="00642F10" w:rsidRPr="00642F10" w:rsidRDefault="00D63A21" w:rsidP="00FA6FFD">
      <w:pPr>
        <w:pStyle w:val="ListParagraph"/>
        <w:numPr>
          <w:ilvl w:val="0"/>
          <w:numId w:val="13"/>
        </w:numPr>
        <w:tabs>
          <w:tab w:val="left" w:pos="2070"/>
        </w:tabs>
        <w:spacing w:after="120" w:line="240" w:lineRule="auto"/>
        <w:ind w:left="900"/>
        <w:rPr>
          <w:rFonts w:ascii="Comic Sans MS" w:hAnsi="Comic Sans MS"/>
        </w:rPr>
      </w:pPr>
      <w:r w:rsidRPr="00642F10">
        <w:rPr>
          <w:rFonts w:ascii="Comic Sans MS" w:hAnsi="Comic Sans MS"/>
        </w:rPr>
        <w:t>Bloomberg SASB ES</w:t>
      </w:r>
    </w:p>
    <w:p w:rsidR="006F76A4" w:rsidRDefault="001E5288" w:rsidP="00FA6FFD">
      <w:pPr>
        <w:tabs>
          <w:tab w:val="left" w:pos="2070"/>
        </w:tabs>
        <w:spacing w:after="120" w:line="240" w:lineRule="auto"/>
        <w:ind w:left="540" w:hanging="540"/>
        <w:rPr>
          <w:rFonts w:ascii="Comic Sans MS" w:hAnsi="Comic Sans MS"/>
        </w:rPr>
      </w:pPr>
      <w:r w:rsidRPr="00642F10">
        <w:rPr>
          <w:rFonts w:ascii="Comic Sans MS" w:hAnsi="Comic Sans MS"/>
        </w:rPr>
        <w:br/>
      </w:r>
      <w:r w:rsidR="006F76A4">
        <w:rPr>
          <w:rFonts w:ascii="Comic Sans MS" w:hAnsi="Comic Sans MS"/>
        </w:rPr>
        <w:t>Assignments:</w:t>
      </w:r>
    </w:p>
    <w:p w:rsidR="004F0692" w:rsidRDefault="006F76A4" w:rsidP="00FA6FFD">
      <w:pPr>
        <w:tabs>
          <w:tab w:val="left" w:pos="2070"/>
        </w:tabs>
        <w:spacing w:after="120" w:line="240" w:lineRule="auto"/>
        <w:ind w:left="540" w:hanging="540"/>
        <w:rPr>
          <w:rFonts w:ascii="Comic Sans MS" w:hAnsi="Comic Sans MS"/>
        </w:rPr>
      </w:pPr>
      <w:r>
        <w:rPr>
          <w:rFonts w:ascii="Comic Sans MS" w:hAnsi="Comic Sans MS"/>
        </w:rPr>
        <w:t xml:space="preserve">    </w:t>
      </w:r>
      <w:r w:rsidR="00FA6FFD">
        <w:rPr>
          <w:rFonts w:ascii="Comic Sans MS" w:hAnsi="Comic Sans MS"/>
        </w:rPr>
        <w:tab/>
      </w:r>
      <w:r>
        <w:rPr>
          <w:rFonts w:ascii="Comic Sans MS" w:hAnsi="Comic Sans MS"/>
        </w:rPr>
        <w:t>* Assignment 1 – CAPM Approach to ESG Investing</w:t>
      </w:r>
      <w:r w:rsidR="00AF3B87">
        <w:rPr>
          <w:rFonts w:ascii="Comic Sans MS" w:hAnsi="Comic Sans MS"/>
        </w:rPr>
        <w:t xml:space="preserve"> (Type B)</w:t>
      </w:r>
    </w:p>
    <w:p w:rsidR="00642F10" w:rsidRPr="006F76A4" w:rsidRDefault="00642F10" w:rsidP="008E4099">
      <w:pPr>
        <w:tabs>
          <w:tab w:val="left" w:pos="2070"/>
        </w:tabs>
        <w:spacing w:after="120" w:line="240" w:lineRule="auto"/>
        <w:rPr>
          <w:rFonts w:ascii="Comic Sans MS" w:hAnsi="Comic Sans MS"/>
        </w:rPr>
      </w:pPr>
    </w:p>
    <w:p w:rsidR="005D0143" w:rsidRPr="00845896" w:rsidRDefault="008941A6" w:rsidP="00642F10">
      <w:pPr>
        <w:keepNext/>
        <w:tabs>
          <w:tab w:val="left" w:pos="540"/>
        </w:tabs>
        <w:spacing w:after="120" w:line="240" w:lineRule="auto"/>
        <w:rPr>
          <w:rFonts w:ascii="Comic Sans MS" w:hAnsi="Comic Sans MS"/>
        </w:rPr>
      </w:pPr>
      <w:r>
        <w:rPr>
          <w:rFonts w:ascii="Comic Sans MS" w:hAnsi="Comic Sans MS"/>
        </w:rPr>
        <w:t>7/8</w:t>
      </w:r>
      <w:r w:rsidR="001E5288">
        <w:rPr>
          <w:rFonts w:ascii="Comic Sans MS" w:hAnsi="Comic Sans MS"/>
        </w:rPr>
        <w:t>.</w:t>
      </w:r>
      <w:r w:rsidR="001E5288">
        <w:rPr>
          <w:rFonts w:ascii="Comic Sans MS" w:hAnsi="Comic Sans MS"/>
        </w:rPr>
        <w:tab/>
      </w:r>
      <w:r w:rsidR="00753952">
        <w:rPr>
          <w:rFonts w:ascii="Comic Sans MS" w:hAnsi="Comic Sans MS"/>
        </w:rPr>
        <w:t>Using ESG factors in Fundamental Active Strategies</w:t>
      </w:r>
      <w:r>
        <w:rPr>
          <w:rFonts w:ascii="Comic Sans MS" w:hAnsi="Comic Sans MS"/>
        </w:rPr>
        <w:t xml:space="preserve"> (03/29 &amp; 03/31)</w:t>
      </w:r>
    </w:p>
    <w:p w:rsidR="00EE5685" w:rsidRDefault="00DD6BBC" w:rsidP="00FA6FFD">
      <w:pPr>
        <w:spacing w:after="120" w:line="240" w:lineRule="auto"/>
        <w:ind w:left="540"/>
        <w:rPr>
          <w:rFonts w:ascii="Comic Sans MS" w:hAnsi="Comic Sans MS"/>
        </w:rPr>
      </w:pPr>
      <w:r>
        <w:rPr>
          <w:rFonts w:ascii="Comic Sans MS" w:hAnsi="Comic Sans MS"/>
        </w:rPr>
        <w:t>As you probably know, most active managers employ Fundamental analysis of companies to select stocks.  More and more of th</w:t>
      </w:r>
      <w:r w:rsidR="0055242B">
        <w:rPr>
          <w:rFonts w:ascii="Comic Sans MS" w:hAnsi="Comic Sans MS"/>
        </w:rPr>
        <w:t>ose</w:t>
      </w:r>
      <w:r>
        <w:rPr>
          <w:rFonts w:ascii="Comic Sans MS" w:hAnsi="Comic Sans MS"/>
        </w:rPr>
        <w:t xml:space="preserve"> managers take into an account ESG factors in their analysis of companies.</w:t>
      </w:r>
    </w:p>
    <w:p w:rsidR="00DD6BBC" w:rsidRDefault="0021667D" w:rsidP="00FA6FFD">
      <w:pPr>
        <w:spacing w:after="120" w:line="240" w:lineRule="auto"/>
        <w:ind w:left="540"/>
        <w:rPr>
          <w:rFonts w:ascii="Comic Sans MS" w:hAnsi="Comic Sans MS"/>
        </w:rPr>
      </w:pPr>
      <w:r>
        <w:rPr>
          <w:rFonts w:ascii="Comic Sans MS" w:hAnsi="Comic Sans MS"/>
        </w:rPr>
        <w:t>Following our discussion of the Wellington case, one or two</w:t>
      </w:r>
      <w:r w:rsidR="00DD6BBC">
        <w:rPr>
          <w:rFonts w:ascii="Comic Sans MS" w:hAnsi="Comic Sans MS"/>
        </w:rPr>
        <w:t xml:space="preserve"> guest speakers will describe how their organizations </w:t>
      </w:r>
      <w:r w:rsidR="0055242B">
        <w:rPr>
          <w:rFonts w:ascii="Comic Sans MS" w:hAnsi="Comic Sans MS"/>
        </w:rPr>
        <w:t xml:space="preserve">consider </w:t>
      </w:r>
      <w:r w:rsidR="00DD6BBC">
        <w:rPr>
          <w:rFonts w:ascii="Comic Sans MS" w:hAnsi="Comic Sans MS"/>
        </w:rPr>
        <w:t>ESG factors in constructing portfolios.</w:t>
      </w:r>
    </w:p>
    <w:p w:rsidR="005D0143" w:rsidRPr="00845896" w:rsidRDefault="00FA6FFD" w:rsidP="00FA6FFD">
      <w:pPr>
        <w:pStyle w:val="BodyText2"/>
        <w:tabs>
          <w:tab w:val="left" w:pos="2715"/>
        </w:tabs>
        <w:ind w:left="540" w:hanging="540"/>
        <w:rPr>
          <w:sz w:val="22"/>
          <w:szCs w:val="22"/>
        </w:rPr>
      </w:pPr>
      <w:r>
        <w:rPr>
          <w:sz w:val="22"/>
          <w:szCs w:val="22"/>
        </w:rPr>
        <w:tab/>
      </w:r>
      <w:r w:rsidR="005D0143" w:rsidRPr="00845896">
        <w:rPr>
          <w:sz w:val="22"/>
          <w:szCs w:val="22"/>
        </w:rPr>
        <w:t>Readings:</w:t>
      </w:r>
    </w:p>
    <w:p w:rsidR="00816792" w:rsidRPr="00DD6BBC" w:rsidRDefault="00816792" w:rsidP="00FA6FFD">
      <w:pPr>
        <w:pStyle w:val="BodyText2"/>
        <w:numPr>
          <w:ilvl w:val="0"/>
          <w:numId w:val="5"/>
        </w:numPr>
        <w:tabs>
          <w:tab w:val="clear" w:pos="1800"/>
        </w:tabs>
        <w:ind w:left="900"/>
        <w:rPr>
          <w:sz w:val="22"/>
          <w:szCs w:val="22"/>
        </w:rPr>
      </w:pPr>
      <w:r>
        <w:rPr>
          <w:sz w:val="22"/>
          <w:szCs w:val="22"/>
        </w:rPr>
        <w:t>A Blueprint for Integrating ESG into Equity Portfolios (Bender, Bridges, He, Lester and Sun)</w:t>
      </w:r>
    </w:p>
    <w:p w:rsidR="005D0143" w:rsidRDefault="00970B9D" w:rsidP="00FA6FFD">
      <w:pPr>
        <w:pStyle w:val="BodyText2"/>
        <w:numPr>
          <w:ilvl w:val="0"/>
          <w:numId w:val="5"/>
        </w:numPr>
        <w:tabs>
          <w:tab w:val="clear" w:pos="1800"/>
        </w:tabs>
        <w:ind w:left="900"/>
        <w:rPr>
          <w:sz w:val="22"/>
          <w:szCs w:val="22"/>
        </w:rPr>
      </w:pPr>
      <w:r>
        <w:rPr>
          <w:sz w:val="22"/>
          <w:szCs w:val="22"/>
        </w:rPr>
        <w:t>A Practical Guide to ESG Integration For Equity Investi</w:t>
      </w:r>
      <w:r w:rsidR="00642F10">
        <w:rPr>
          <w:sz w:val="22"/>
          <w:szCs w:val="22"/>
        </w:rPr>
        <w:t xml:space="preserve">ng – Principals for Responsible </w:t>
      </w:r>
      <w:r>
        <w:rPr>
          <w:sz w:val="22"/>
          <w:szCs w:val="22"/>
        </w:rPr>
        <w:t>Investment</w:t>
      </w:r>
    </w:p>
    <w:p w:rsidR="00E076D4" w:rsidRDefault="00E076D4" w:rsidP="00FA6FFD">
      <w:pPr>
        <w:pStyle w:val="BodyText2"/>
        <w:numPr>
          <w:ilvl w:val="0"/>
          <w:numId w:val="5"/>
        </w:numPr>
        <w:tabs>
          <w:tab w:val="clear" w:pos="1800"/>
        </w:tabs>
        <w:ind w:left="900"/>
        <w:rPr>
          <w:sz w:val="22"/>
          <w:szCs w:val="22"/>
        </w:rPr>
      </w:pPr>
      <w:r>
        <w:rPr>
          <w:sz w:val="22"/>
          <w:szCs w:val="22"/>
        </w:rPr>
        <w:t>Guidance and Case Studies For ESG Integration – CFA Institute</w:t>
      </w:r>
    </w:p>
    <w:p w:rsidR="008E5775" w:rsidRDefault="008E5775" w:rsidP="00FA6FFD">
      <w:pPr>
        <w:pStyle w:val="BodyText2"/>
        <w:numPr>
          <w:ilvl w:val="0"/>
          <w:numId w:val="5"/>
        </w:numPr>
        <w:tabs>
          <w:tab w:val="clear" w:pos="1800"/>
        </w:tabs>
        <w:ind w:left="900"/>
        <w:rPr>
          <w:sz w:val="22"/>
          <w:szCs w:val="22"/>
        </w:rPr>
      </w:pPr>
      <w:r>
        <w:rPr>
          <w:sz w:val="22"/>
          <w:szCs w:val="22"/>
        </w:rPr>
        <w:t>Wellington Global Impact</w:t>
      </w:r>
      <w:r w:rsidR="008E4346">
        <w:rPr>
          <w:sz w:val="22"/>
          <w:szCs w:val="22"/>
        </w:rPr>
        <w:t xml:space="preserve"> (HBS case)</w:t>
      </w:r>
    </w:p>
    <w:p w:rsidR="008E5775" w:rsidRDefault="008E5775" w:rsidP="008E4099">
      <w:pPr>
        <w:pStyle w:val="BodyText2"/>
        <w:ind w:left="0" w:firstLine="0"/>
        <w:rPr>
          <w:sz w:val="22"/>
          <w:szCs w:val="22"/>
        </w:rPr>
      </w:pPr>
    </w:p>
    <w:p w:rsidR="008E5775" w:rsidRPr="00DD6BBC" w:rsidRDefault="008E5775" w:rsidP="00FA6FFD">
      <w:pPr>
        <w:pStyle w:val="BodyText2"/>
        <w:ind w:left="540" w:firstLine="0"/>
        <w:rPr>
          <w:sz w:val="22"/>
          <w:szCs w:val="22"/>
        </w:rPr>
      </w:pPr>
      <w:r>
        <w:rPr>
          <w:sz w:val="22"/>
          <w:szCs w:val="22"/>
        </w:rPr>
        <w:lastRenderedPageBreak/>
        <w:t xml:space="preserve">Assignments: </w:t>
      </w:r>
      <w:r w:rsidR="00642F10">
        <w:rPr>
          <w:sz w:val="22"/>
          <w:szCs w:val="22"/>
        </w:rPr>
        <w:br/>
      </w:r>
      <w:r>
        <w:rPr>
          <w:sz w:val="22"/>
          <w:szCs w:val="22"/>
        </w:rPr>
        <w:t>Assignment 2 – Questions on Wellington Global Impact Case</w:t>
      </w:r>
      <w:r w:rsidR="008E4346">
        <w:rPr>
          <w:sz w:val="22"/>
          <w:szCs w:val="22"/>
        </w:rPr>
        <w:t xml:space="preserve"> (Type A)</w:t>
      </w:r>
    </w:p>
    <w:p w:rsidR="005D0143" w:rsidRPr="003A3FC3" w:rsidRDefault="005D0143" w:rsidP="008E4099">
      <w:pPr>
        <w:pStyle w:val="BodyText2"/>
        <w:ind w:left="0" w:firstLine="0"/>
        <w:rPr>
          <w:sz w:val="22"/>
          <w:szCs w:val="22"/>
        </w:rPr>
      </w:pPr>
    </w:p>
    <w:p w:rsidR="00AF67E7" w:rsidRDefault="008941A6" w:rsidP="00FA6FFD">
      <w:pPr>
        <w:keepNext/>
        <w:tabs>
          <w:tab w:val="left" w:pos="720"/>
        </w:tabs>
        <w:spacing w:after="120" w:line="240" w:lineRule="auto"/>
        <w:rPr>
          <w:rFonts w:ascii="Comic Sans MS" w:hAnsi="Comic Sans MS"/>
        </w:rPr>
      </w:pPr>
      <w:r>
        <w:rPr>
          <w:rFonts w:ascii="Comic Sans MS" w:hAnsi="Comic Sans MS"/>
        </w:rPr>
        <w:t>9/10</w:t>
      </w:r>
      <w:r w:rsidR="00560380">
        <w:rPr>
          <w:rFonts w:ascii="Comic Sans MS" w:hAnsi="Comic Sans MS"/>
        </w:rPr>
        <w:t>.</w:t>
      </w:r>
      <w:r w:rsidR="00560380">
        <w:rPr>
          <w:rFonts w:ascii="Comic Sans MS" w:hAnsi="Comic Sans MS"/>
        </w:rPr>
        <w:tab/>
      </w:r>
      <w:r w:rsidR="00DD6BBC">
        <w:rPr>
          <w:rFonts w:ascii="Comic Sans MS" w:hAnsi="Comic Sans MS"/>
        </w:rPr>
        <w:t xml:space="preserve">Using ESG factors in Quantitatively Managed Portfolios </w:t>
      </w:r>
      <w:r>
        <w:rPr>
          <w:rFonts w:ascii="Comic Sans MS" w:hAnsi="Comic Sans MS"/>
        </w:rPr>
        <w:t>(04/05 &amp; 04/07)</w:t>
      </w:r>
    </w:p>
    <w:p w:rsidR="00A049F0" w:rsidRDefault="00FA6FFD" w:rsidP="00FA6FFD">
      <w:pPr>
        <w:tabs>
          <w:tab w:val="left" w:pos="1260"/>
        </w:tabs>
        <w:spacing w:after="120" w:line="240" w:lineRule="auto"/>
        <w:ind w:left="540" w:hanging="540"/>
        <w:rPr>
          <w:rFonts w:ascii="Comic Sans MS" w:hAnsi="Comic Sans MS"/>
        </w:rPr>
      </w:pPr>
      <w:r>
        <w:rPr>
          <w:rFonts w:ascii="Comic Sans MS" w:hAnsi="Comic Sans MS"/>
        </w:rPr>
        <w:tab/>
      </w:r>
      <w:r w:rsidR="008C6A83">
        <w:rPr>
          <w:rFonts w:ascii="Comic Sans MS" w:hAnsi="Comic Sans MS"/>
        </w:rPr>
        <w:t xml:space="preserve">Some active managers </w:t>
      </w:r>
      <w:r w:rsidR="00B2545F">
        <w:rPr>
          <w:rFonts w:ascii="Comic Sans MS" w:hAnsi="Comic Sans MS"/>
        </w:rPr>
        <w:t xml:space="preserve">heavily rely on </w:t>
      </w:r>
      <w:r w:rsidR="008C6A83">
        <w:rPr>
          <w:rFonts w:ascii="Comic Sans MS" w:hAnsi="Comic Sans MS"/>
        </w:rPr>
        <w:t>quantitative processes to construct portfolios</w:t>
      </w:r>
      <w:r w:rsidR="00E84EA3">
        <w:rPr>
          <w:rFonts w:ascii="Comic Sans MS" w:hAnsi="Comic Sans MS"/>
        </w:rPr>
        <w:t>.  In some cases, those portfolios attempt to identify common factors inherent in companies that potentially lead to outperformance.  That approach is often referred to Factor or Smart Beta investing.</w:t>
      </w:r>
    </w:p>
    <w:p w:rsidR="00820B48" w:rsidRDefault="00FA6FFD" w:rsidP="00FA6FFD">
      <w:pPr>
        <w:tabs>
          <w:tab w:val="left" w:pos="1260"/>
        </w:tabs>
        <w:spacing w:after="120" w:line="240" w:lineRule="auto"/>
        <w:ind w:left="540" w:hanging="540"/>
      </w:pPr>
      <w:r>
        <w:rPr>
          <w:rFonts w:ascii="Comic Sans MS" w:hAnsi="Comic Sans MS"/>
        </w:rPr>
        <w:tab/>
      </w:r>
      <w:r w:rsidR="00E84EA3">
        <w:rPr>
          <w:rFonts w:ascii="Comic Sans MS" w:hAnsi="Comic Sans MS"/>
        </w:rPr>
        <w:t xml:space="preserve">With the help of two guest speakers we explore how Quant Managers integrate ESG Factors into their models and whether ESG </w:t>
      </w:r>
      <w:r w:rsidR="00257A1E">
        <w:rPr>
          <w:rFonts w:ascii="Comic Sans MS" w:hAnsi="Comic Sans MS"/>
        </w:rPr>
        <w:t>indicators</w:t>
      </w:r>
      <w:r w:rsidR="00E84EA3">
        <w:rPr>
          <w:rFonts w:ascii="Comic Sans MS" w:hAnsi="Comic Sans MS"/>
        </w:rPr>
        <w:t xml:space="preserve"> are compatible with the factors their models have relied on in the past.</w:t>
      </w:r>
    </w:p>
    <w:p w:rsidR="00A049F0" w:rsidRDefault="00FA6FFD" w:rsidP="00FA6FFD">
      <w:pPr>
        <w:tabs>
          <w:tab w:val="left" w:pos="1260"/>
        </w:tabs>
        <w:spacing w:after="120" w:line="240" w:lineRule="auto"/>
        <w:ind w:left="540" w:hanging="540"/>
        <w:rPr>
          <w:rFonts w:ascii="Comic Sans MS" w:hAnsi="Comic Sans MS"/>
        </w:rPr>
      </w:pPr>
      <w:r>
        <w:rPr>
          <w:rFonts w:ascii="Comic Sans MS" w:hAnsi="Comic Sans MS"/>
        </w:rPr>
        <w:tab/>
      </w:r>
      <w:r w:rsidR="00A049F0" w:rsidRPr="00596D26">
        <w:rPr>
          <w:rFonts w:ascii="Comic Sans MS" w:hAnsi="Comic Sans MS"/>
        </w:rPr>
        <w:t>Readings:</w:t>
      </w:r>
    </w:p>
    <w:p w:rsidR="00F306CB" w:rsidRPr="00FA6FFD" w:rsidRDefault="00D0642A" w:rsidP="00FA6FFD">
      <w:pPr>
        <w:pStyle w:val="BodyText2"/>
        <w:numPr>
          <w:ilvl w:val="0"/>
          <w:numId w:val="5"/>
        </w:numPr>
        <w:tabs>
          <w:tab w:val="clear" w:pos="1800"/>
        </w:tabs>
        <w:ind w:left="900"/>
        <w:rPr>
          <w:sz w:val="22"/>
          <w:szCs w:val="22"/>
        </w:rPr>
      </w:pPr>
      <w:r w:rsidRPr="009A7350">
        <w:rPr>
          <w:sz w:val="22"/>
          <w:szCs w:val="22"/>
        </w:rPr>
        <w:t>Responsible Asset Selection</w:t>
      </w:r>
      <w:r w:rsidR="0055242B">
        <w:rPr>
          <w:sz w:val="22"/>
          <w:szCs w:val="22"/>
        </w:rPr>
        <w:t>:</w:t>
      </w:r>
      <w:r w:rsidRPr="009A7350">
        <w:rPr>
          <w:sz w:val="22"/>
          <w:szCs w:val="22"/>
        </w:rPr>
        <w:t xml:space="preserve"> ESG in Portfolio Decisions</w:t>
      </w:r>
      <w:r w:rsidR="004F0692" w:rsidRPr="00D0642A">
        <w:br/>
      </w:r>
    </w:p>
    <w:p w:rsidR="00B35C9E" w:rsidRDefault="008941A6" w:rsidP="00FA6FFD">
      <w:pPr>
        <w:keepNext/>
        <w:tabs>
          <w:tab w:val="left" w:pos="720"/>
        </w:tabs>
        <w:spacing w:after="120" w:line="240" w:lineRule="auto"/>
        <w:rPr>
          <w:rFonts w:ascii="Comic Sans MS" w:hAnsi="Comic Sans MS"/>
        </w:rPr>
      </w:pPr>
      <w:r>
        <w:rPr>
          <w:rFonts w:ascii="Comic Sans MS" w:hAnsi="Comic Sans MS"/>
        </w:rPr>
        <w:t>11/12</w:t>
      </w:r>
      <w:r w:rsidR="00566935">
        <w:rPr>
          <w:rFonts w:ascii="Comic Sans MS" w:hAnsi="Comic Sans MS"/>
        </w:rPr>
        <w:t>.</w:t>
      </w:r>
      <w:r w:rsidR="001E5288">
        <w:rPr>
          <w:rFonts w:ascii="Comic Sans MS" w:hAnsi="Comic Sans MS"/>
        </w:rPr>
        <w:tab/>
      </w:r>
      <w:r>
        <w:rPr>
          <w:rFonts w:ascii="Comic Sans MS" w:hAnsi="Comic Sans MS"/>
        </w:rPr>
        <w:t>Influencing</w:t>
      </w:r>
      <w:r w:rsidR="0035764B">
        <w:rPr>
          <w:rFonts w:ascii="Comic Sans MS" w:hAnsi="Comic Sans MS"/>
        </w:rPr>
        <w:t xml:space="preserve"> Corporate Behavior</w:t>
      </w:r>
      <w:r>
        <w:rPr>
          <w:rFonts w:ascii="Comic Sans MS" w:hAnsi="Comic Sans MS"/>
        </w:rPr>
        <w:t xml:space="preserve"> (04/12 </w:t>
      </w:r>
      <w:r w:rsidR="0026184E">
        <w:rPr>
          <w:rFonts w:ascii="Comic Sans MS" w:hAnsi="Comic Sans MS"/>
        </w:rPr>
        <w:t>&amp;</w:t>
      </w:r>
      <w:r>
        <w:rPr>
          <w:rFonts w:ascii="Comic Sans MS" w:hAnsi="Comic Sans MS"/>
        </w:rPr>
        <w:t xml:space="preserve"> 04/14)</w:t>
      </w:r>
    </w:p>
    <w:p w:rsidR="00F65809" w:rsidRPr="009C20D7" w:rsidRDefault="000B6614" w:rsidP="00A167C7">
      <w:pPr>
        <w:spacing w:after="120" w:line="240" w:lineRule="auto"/>
        <w:ind w:left="540"/>
        <w:rPr>
          <w:rFonts w:ascii="Comic Sans MS" w:hAnsi="Comic Sans MS"/>
        </w:rPr>
      </w:pPr>
      <w:r w:rsidRPr="009C20D7">
        <w:rPr>
          <w:rFonts w:ascii="Comic Sans MS" w:hAnsi="Comic Sans MS"/>
        </w:rPr>
        <w:t>To complete the course, we explore</w:t>
      </w:r>
      <w:r w:rsidR="00E84EA3" w:rsidRPr="009C20D7">
        <w:rPr>
          <w:rFonts w:ascii="Comic Sans MS" w:hAnsi="Comic Sans MS"/>
        </w:rPr>
        <w:t xml:space="preserve"> how asset managers use Proxy Voting </w:t>
      </w:r>
      <w:r w:rsidR="00257A1E">
        <w:rPr>
          <w:rFonts w:ascii="Comic Sans MS" w:hAnsi="Comic Sans MS"/>
        </w:rPr>
        <w:t xml:space="preserve">and Corporate Engagement </w:t>
      </w:r>
      <w:r w:rsidR="00E84EA3" w:rsidRPr="009C20D7">
        <w:rPr>
          <w:rFonts w:ascii="Comic Sans MS" w:hAnsi="Comic Sans MS"/>
        </w:rPr>
        <w:t xml:space="preserve">to </w:t>
      </w:r>
      <w:r w:rsidR="005D1F1D">
        <w:rPr>
          <w:rFonts w:ascii="Comic Sans MS" w:hAnsi="Comic Sans MS"/>
        </w:rPr>
        <w:t xml:space="preserve">influence </w:t>
      </w:r>
      <w:r w:rsidR="006B274F">
        <w:rPr>
          <w:rFonts w:ascii="Comic Sans MS" w:hAnsi="Comic Sans MS"/>
        </w:rPr>
        <w:t xml:space="preserve">the </w:t>
      </w:r>
      <w:r w:rsidR="005D1F1D">
        <w:rPr>
          <w:rFonts w:ascii="Comic Sans MS" w:hAnsi="Comic Sans MS"/>
        </w:rPr>
        <w:t>behavior of the companies they own</w:t>
      </w:r>
      <w:r w:rsidR="00257A1E">
        <w:rPr>
          <w:rFonts w:ascii="Comic Sans MS" w:hAnsi="Comic Sans MS"/>
        </w:rPr>
        <w:t xml:space="preserve">. </w:t>
      </w:r>
      <w:r w:rsidR="0052057C">
        <w:rPr>
          <w:rFonts w:ascii="Comic Sans MS" w:hAnsi="Comic Sans MS"/>
        </w:rPr>
        <w:t xml:space="preserve">Prominent in this process is </w:t>
      </w:r>
      <w:r w:rsidR="007E1E28" w:rsidRPr="009C20D7">
        <w:rPr>
          <w:rFonts w:ascii="Comic Sans MS" w:hAnsi="Comic Sans MS"/>
        </w:rPr>
        <w:t xml:space="preserve">the role of the </w:t>
      </w:r>
      <w:r w:rsidR="00F65809" w:rsidRPr="009C20D7">
        <w:rPr>
          <w:rFonts w:ascii="Comic Sans MS" w:hAnsi="Comic Sans MS"/>
        </w:rPr>
        <w:t>Corporate Governance advisors</w:t>
      </w:r>
      <w:r w:rsidR="007E1E28" w:rsidRPr="009C20D7">
        <w:rPr>
          <w:rFonts w:ascii="Comic Sans MS" w:hAnsi="Comic Sans MS"/>
        </w:rPr>
        <w:t xml:space="preserve"> like Institutional </w:t>
      </w:r>
      <w:r w:rsidR="00CB1181" w:rsidRPr="009C20D7">
        <w:rPr>
          <w:rFonts w:ascii="Comic Sans MS" w:hAnsi="Comic Sans MS"/>
        </w:rPr>
        <w:t>Shareholders Ser</w:t>
      </w:r>
      <w:r w:rsidR="00F65809" w:rsidRPr="009C20D7">
        <w:rPr>
          <w:rFonts w:ascii="Comic Sans MS" w:hAnsi="Comic Sans MS"/>
        </w:rPr>
        <w:t>vi</w:t>
      </w:r>
      <w:r w:rsidR="00CB1181" w:rsidRPr="009C20D7">
        <w:rPr>
          <w:rFonts w:ascii="Comic Sans MS" w:hAnsi="Comic Sans MS"/>
        </w:rPr>
        <w:t>ces</w:t>
      </w:r>
      <w:r w:rsidR="00F65809" w:rsidRPr="009C20D7">
        <w:rPr>
          <w:rFonts w:ascii="Comic Sans MS" w:hAnsi="Comic Sans MS"/>
        </w:rPr>
        <w:t xml:space="preserve"> (ISS)</w:t>
      </w:r>
      <w:r w:rsidR="00E84EA3" w:rsidRPr="009C20D7">
        <w:rPr>
          <w:rFonts w:ascii="Comic Sans MS" w:hAnsi="Comic Sans MS"/>
        </w:rPr>
        <w:t>.</w:t>
      </w:r>
    </w:p>
    <w:p w:rsidR="004001B3" w:rsidRDefault="00F65809" w:rsidP="00A167C7">
      <w:pPr>
        <w:spacing w:after="120" w:line="240" w:lineRule="auto"/>
        <w:ind w:left="540"/>
        <w:rPr>
          <w:rFonts w:ascii="Comic Sans MS" w:hAnsi="Comic Sans MS"/>
        </w:rPr>
      </w:pPr>
      <w:r w:rsidRPr="009C20D7">
        <w:rPr>
          <w:rFonts w:ascii="Comic Sans MS" w:hAnsi="Comic Sans MS"/>
        </w:rPr>
        <w:t xml:space="preserve">Advisors like ISS have set specific standards on how they handle ESG related matters which we review.  We then discuss how </w:t>
      </w:r>
      <w:r w:rsidR="00257A1E">
        <w:rPr>
          <w:rFonts w:ascii="Comic Sans MS" w:hAnsi="Comic Sans MS"/>
        </w:rPr>
        <w:t xml:space="preserve">more and more </w:t>
      </w:r>
      <w:r w:rsidRPr="009C20D7">
        <w:rPr>
          <w:rFonts w:ascii="Comic Sans MS" w:hAnsi="Comic Sans MS"/>
        </w:rPr>
        <w:t>Asset Managers have becom</w:t>
      </w:r>
      <w:r w:rsidR="00B4772E" w:rsidRPr="009C20D7">
        <w:rPr>
          <w:rFonts w:ascii="Comic Sans MS" w:hAnsi="Comic Sans MS"/>
        </w:rPr>
        <w:t xml:space="preserve">e more directly involved in Corporate Governance and what trends to expect </w:t>
      </w:r>
      <w:r w:rsidR="0052057C">
        <w:rPr>
          <w:rFonts w:ascii="Comic Sans MS" w:hAnsi="Comic Sans MS"/>
        </w:rPr>
        <w:t>going forward.</w:t>
      </w:r>
    </w:p>
    <w:p w:rsidR="005D1F1D" w:rsidRDefault="004001B3" w:rsidP="00A167C7">
      <w:pPr>
        <w:spacing w:after="120" w:line="240" w:lineRule="auto"/>
        <w:ind w:left="540"/>
        <w:rPr>
          <w:rFonts w:ascii="Comic Sans MS" w:hAnsi="Comic Sans MS"/>
        </w:rPr>
      </w:pPr>
      <w:r>
        <w:rPr>
          <w:rFonts w:ascii="Comic Sans MS" w:hAnsi="Comic Sans MS"/>
        </w:rPr>
        <w:t>We end the course with a look to the future.  Going back to before I went to business school</w:t>
      </w:r>
      <w:r w:rsidR="005D1F1D">
        <w:rPr>
          <w:rFonts w:ascii="Comic Sans MS" w:hAnsi="Comic Sans MS"/>
        </w:rPr>
        <w:t xml:space="preserve">, we were all taught that to fulfill their fiduciary responsibility, senior management should maximize shareholder value.  </w:t>
      </w:r>
      <w:r w:rsidR="008941A6">
        <w:rPr>
          <w:rFonts w:ascii="Comic Sans MS" w:hAnsi="Comic Sans MS"/>
        </w:rPr>
        <w:t>Consistent with that</w:t>
      </w:r>
      <w:r w:rsidR="005D1F1D">
        <w:rPr>
          <w:rFonts w:ascii="Comic Sans MS" w:hAnsi="Comic Sans MS"/>
        </w:rPr>
        <w:t>, the goal of an Asset Manager is to maximize risk-adjusted returns.</w:t>
      </w:r>
    </w:p>
    <w:p w:rsidR="002324A4" w:rsidRPr="009C20D7" w:rsidRDefault="005D1F1D" w:rsidP="00A167C7">
      <w:pPr>
        <w:spacing w:after="120" w:line="240" w:lineRule="auto"/>
        <w:ind w:left="540"/>
        <w:rPr>
          <w:rFonts w:ascii="Comic Sans MS" w:hAnsi="Comic Sans MS"/>
        </w:rPr>
      </w:pPr>
      <w:r>
        <w:rPr>
          <w:rFonts w:ascii="Comic Sans MS" w:hAnsi="Comic Sans MS"/>
        </w:rPr>
        <w:t xml:space="preserve">How does that behavior square with Socially Responsible investing under ESG </w:t>
      </w:r>
      <w:r w:rsidR="0052057C">
        <w:rPr>
          <w:rFonts w:ascii="Comic Sans MS" w:hAnsi="Comic Sans MS"/>
        </w:rPr>
        <w:t>guide</w:t>
      </w:r>
      <w:r w:rsidR="002606A9">
        <w:rPr>
          <w:rFonts w:ascii="Comic Sans MS" w:hAnsi="Comic Sans MS"/>
        </w:rPr>
        <w:t xml:space="preserve">lines? </w:t>
      </w:r>
      <w:r>
        <w:rPr>
          <w:rFonts w:ascii="Comic Sans MS" w:hAnsi="Comic Sans MS"/>
        </w:rPr>
        <w:t>What do the laws say?  Is regulation needed to truly change behavior</w:t>
      </w:r>
      <w:r w:rsidR="008941A6">
        <w:rPr>
          <w:rFonts w:ascii="Comic Sans MS" w:hAnsi="Comic Sans MS"/>
        </w:rPr>
        <w:t>?</w:t>
      </w:r>
      <w:r w:rsidR="005B4A62" w:rsidRPr="009C20D7">
        <w:rPr>
          <w:rFonts w:ascii="Comic Sans MS" w:hAnsi="Comic Sans MS"/>
        </w:rPr>
        <w:tab/>
      </w:r>
    </w:p>
    <w:p w:rsidR="00820B48" w:rsidRDefault="008B3BFF" w:rsidP="00A167C7">
      <w:pPr>
        <w:spacing w:after="120" w:line="240" w:lineRule="auto"/>
        <w:ind w:firstLine="540"/>
        <w:rPr>
          <w:rFonts w:ascii="Comic Sans MS" w:hAnsi="Comic Sans MS"/>
        </w:rPr>
      </w:pPr>
      <w:r w:rsidRPr="009C20D7">
        <w:rPr>
          <w:rFonts w:ascii="Comic Sans MS" w:hAnsi="Comic Sans MS"/>
        </w:rPr>
        <w:t>Readings:</w:t>
      </w:r>
    </w:p>
    <w:p w:rsidR="008B3BFF" w:rsidRDefault="008B3BFF" w:rsidP="00A167C7">
      <w:pPr>
        <w:pStyle w:val="BodyText2"/>
        <w:numPr>
          <w:ilvl w:val="0"/>
          <w:numId w:val="5"/>
        </w:numPr>
        <w:tabs>
          <w:tab w:val="clear" w:pos="1800"/>
        </w:tabs>
        <w:ind w:left="900"/>
        <w:rPr>
          <w:sz w:val="22"/>
          <w:szCs w:val="22"/>
        </w:rPr>
      </w:pPr>
      <w:r w:rsidRPr="00596D26">
        <w:rPr>
          <w:sz w:val="22"/>
          <w:szCs w:val="22"/>
        </w:rPr>
        <w:t>BlackRock: Linking Purpose to Profit</w:t>
      </w:r>
    </w:p>
    <w:p w:rsidR="00907B02" w:rsidRDefault="00907B02" w:rsidP="00A167C7">
      <w:pPr>
        <w:pStyle w:val="BodyText2"/>
        <w:numPr>
          <w:ilvl w:val="0"/>
          <w:numId w:val="5"/>
        </w:numPr>
        <w:tabs>
          <w:tab w:val="clear" w:pos="1800"/>
        </w:tabs>
        <w:ind w:left="900"/>
        <w:rPr>
          <w:sz w:val="22"/>
          <w:szCs w:val="22"/>
        </w:rPr>
      </w:pPr>
      <w:r>
        <w:rPr>
          <w:sz w:val="22"/>
          <w:szCs w:val="22"/>
        </w:rPr>
        <w:t>Stewardship Report 2019 – Goldman Sachs Asset Management</w:t>
      </w:r>
      <w:r w:rsidR="00056B95">
        <w:rPr>
          <w:sz w:val="22"/>
          <w:szCs w:val="22"/>
        </w:rPr>
        <w:t xml:space="preserve"> (GSAM) </w:t>
      </w:r>
    </w:p>
    <w:p w:rsidR="00FA6FFD" w:rsidRDefault="00FA6FFD" w:rsidP="008E4099">
      <w:pPr>
        <w:pStyle w:val="BodyText2"/>
        <w:ind w:left="0" w:firstLine="0"/>
        <w:rPr>
          <w:sz w:val="22"/>
          <w:szCs w:val="22"/>
        </w:rPr>
      </w:pPr>
    </w:p>
    <w:p w:rsidR="00056B95" w:rsidRDefault="00056B95" w:rsidP="00A167C7">
      <w:pPr>
        <w:pStyle w:val="BodyText2"/>
        <w:ind w:left="540" w:firstLine="0"/>
        <w:rPr>
          <w:sz w:val="22"/>
          <w:szCs w:val="22"/>
        </w:rPr>
      </w:pPr>
      <w:r>
        <w:rPr>
          <w:sz w:val="22"/>
          <w:szCs w:val="22"/>
        </w:rPr>
        <w:t>Assignments:</w:t>
      </w:r>
    </w:p>
    <w:p w:rsidR="00056B95" w:rsidRPr="00596D26" w:rsidRDefault="00056B95" w:rsidP="00A167C7">
      <w:pPr>
        <w:pStyle w:val="BodyText2"/>
        <w:ind w:left="540" w:firstLine="0"/>
        <w:rPr>
          <w:sz w:val="22"/>
          <w:szCs w:val="22"/>
        </w:rPr>
      </w:pPr>
      <w:r>
        <w:rPr>
          <w:sz w:val="22"/>
          <w:szCs w:val="22"/>
        </w:rPr>
        <w:t xml:space="preserve">Assignment 3 – Questions on Blackrock Case and GSAM </w:t>
      </w:r>
      <w:r w:rsidR="008E5775">
        <w:rPr>
          <w:sz w:val="22"/>
          <w:szCs w:val="22"/>
        </w:rPr>
        <w:t>R</w:t>
      </w:r>
      <w:r>
        <w:rPr>
          <w:sz w:val="22"/>
          <w:szCs w:val="22"/>
        </w:rPr>
        <w:t>eport</w:t>
      </w:r>
      <w:r w:rsidR="0052057C">
        <w:rPr>
          <w:sz w:val="22"/>
          <w:szCs w:val="22"/>
        </w:rPr>
        <w:t xml:space="preserve"> (Type A)</w:t>
      </w:r>
    </w:p>
    <w:sectPr w:rsidR="00056B95" w:rsidRPr="00596D26" w:rsidSect="00710602">
      <w:headerReference w:type="default" r:id="rId12"/>
      <w:footerReference w:type="default" r:id="rId13"/>
      <w:type w:val="continuous"/>
      <w:pgSz w:w="12240" w:h="15840"/>
      <w:pgMar w:top="1440" w:right="72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6FD9" w:rsidRDefault="00076FD9" w:rsidP="00934BFC">
      <w:pPr>
        <w:spacing w:after="0" w:line="240" w:lineRule="auto"/>
      </w:pPr>
      <w:r>
        <w:separator/>
      </w:r>
    </w:p>
  </w:endnote>
  <w:endnote w:type="continuationSeparator" w:id="0">
    <w:p w:rsidR="00076FD9" w:rsidRDefault="00076FD9" w:rsidP="00934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Default="006B59AA">
    <w:pPr>
      <w:pStyle w:val="Footer"/>
    </w:pPr>
    <w:r>
      <w:t xml:space="preserve">Page </w:t>
    </w:r>
    <w:r w:rsidR="004E6704">
      <w:rPr>
        <w:b/>
      </w:rPr>
      <w:fldChar w:fldCharType="begin"/>
    </w:r>
    <w:r>
      <w:rPr>
        <w:b/>
      </w:rPr>
      <w:instrText xml:space="preserve"> PAGE  \* Arabic  \* MERGEFORMAT </w:instrText>
    </w:r>
    <w:r w:rsidR="004E6704">
      <w:rPr>
        <w:b/>
      </w:rPr>
      <w:fldChar w:fldCharType="separate"/>
    </w:r>
    <w:r w:rsidR="0026184E">
      <w:rPr>
        <w:b/>
        <w:noProof/>
      </w:rPr>
      <w:t>3</w:t>
    </w:r>
    <w:r w:rsidR="004E6704">
      <w:rPr>
        <w:b/>
      </w:rPr>
      <w:fldChar w:fldCharType="end"/>
    </w:r>
    <w:r>
      <w:t xml:space="preserve"> of </w:t>
    </w:r>
    <w:r w:rsidR="00C144F8">
      <w:rPr>
        <w:b/>
        <w:noProof/>
      </w:rPr>
      <w:fldChar w:fldCharType="begin"/>
    </w:r>
    <w:r w:rsidR="00C144F8">
      <w:rPr>
        <w:b/>
        <w:noProof/>
      </w:rPr>
      <w:instrText xml:space="preserve"> NUMPAGES  \* Arabic  \* MERGEFORMAT </w:instrText>
    </w:r>
    <w:r w:rsidR="00C144F8">
      <w:rPr>
        <w:b/>
        <w:noProof/>
      </w:rPr>
      <w:fldChar w:fldCharType="separate"/>
    </w:r>
    <w:r w:rsidR="0026184E">
      <w:rPr>
        <w:b/>
        <w:noProof/>
      </w:rPr>
      <w:t>5</w:t>
    </w:r>
    <w:r w:rsidR="00C144F8">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6FD9" w:rsidRDefault="00076FD9" w:rsidP="00934BFC">
      <w:pPr>
        <w:spacing w:after="0" w:line="240" w:lineRule="auto"/>
      </w:pPr>
      <w:r>
        <w:separator/>
      </w:r>
    </w:p>
  </w:footnote>
  <w:footnote w:type="continuationSeparator" w:id="0">
    <w:p w:rsidR="00076FD9" w:rsidRDefault="00076FD9" w:rsidP="00934BF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9AA" w:rsidRPr="00102A1F" w:rsidRDefault="006B59AA" w:rsidP="00C15C73">
    <w:pPr>
      <w:pStyle w:val="Header"/>
      <w:tabs>
        <w:tab w:val="clear" w:pos="9360"/>
        <w:tab w:val="right" w:pos="4680"/>
        <w:tab w:val="right" w:pos="10080"/>
      </w:tabs>
      <w:jc w:val="both"/>
      <w:rPr>
        <w:color w:val="808080" w:themeColor="background1" w:themeShade="80"/>
      </w:rPr>
    </w:pPr>
    <w:r>
      <w:rPr>
        <w:noProof/>
      </w:rPr>
      <w:ptab w:relativeTo="margin" w:alignment="left" w:leader="none"/>
    </w:r>
    <w:r>
      <w:rPr>
        <w:noProof/>
      </w:rPr>
      <w:drawing>
        <wp:inline distT="0" distB="0" distL="0" distR="0" wp14:anchorId="6FEA092C" wp14:editId="006EC0A5">
          <wp:extent cx="2103120" cy="244686"/>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r>
      <w:rPr>
        <w:noProof/>
      </w:rPr>
      <w:tab/>
    </w:r>
    <w:r>
      <w:rPr>
        <w:noProof/>
      </w:rPr>
      <w:tab/>
    </w:r>
    <w:r w:rsidRPr="00102A1F">
      <w:rPr>
        <w:noProof/>
        <w:color w:val="808080" w:themeColor="background1" w:themeShade="80"/>
      </w:rPr>
      <w:t xml:space="preserve">Revised </w:t>
    </w:r>
    <w:r w:rsidR="00101107">
      <w:rPr>
        <w:noProof/>
        <w:color w:val="808080" w:themeColor="background1" w:themeShade="80"/>
      </w:rPr>
      <w:fldChar w:fldCharType="begin"/>
    </w:r>
    <w:r w:rsidR="00101107">
      <w:rPr>
        <w:noProof/>
        <w:color w:val="808080" w:themeColor="background1" w:themeShade="80"/>
      </w:rPr>
      <w:instrText xml:space="preserve"> DATE \@ "MMMM d, yyyy" </w:instrText>
    </w:r>
    <w:r w:rsidR="00101107">
      <w:rPr>
        <w:noProof/>
        <w:color w:val="808080" w:themeColor="background1" w:themeShade="80"/>
      </w:rPr>
      <w:fldChar w:fldCharType="separate"/>
    </w:r>
    <w:r w:rsidR="0026184E">
      <w:rPr>
        <w:noProof/>
        <w:color w:val="808080" w:themeColor="background1" w:themeShade="80"/>
      </w:rPr>
      <w:t>November 10, 2020</w:t>
    </w:r>
    <w:r w:rsidR="00101107">
      <w:rPr>
        <w:noProof/>
        <w:color w:val="808080" w:themeColor="background1" w:themeShade="8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681B1B"/>
    <w:multiLevelType w:val="hybridMultilevel"/>
    <w:tmpl w:val="501255D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83D47E5"/>
    <w:multiLevelType w:val="hybridMultilevel"/>
    <w:tmpl w:val="43F0C870"/>
    <w:lvl w:ilvl="0" w:tplc="F03A6F68">
      <w:start w:val="3"/>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D2C4516"/>
    <w:multiLevelType w:val="hybridMultilevel"/>
    <w:tmpl w:val="5AD032A8"/>
    <w:lvl w:ilvl="0" w:tplc="8EFCCFC0">
      <w:start w:val="1"/>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98761A"/>
    <w:multiLevelType w:val="hybridMultilevel"/>
    <w:tmpl w:val="3510F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E42A94"/>
    <w:multiLevelType w:val="hybridMultilevel"/>
    <w:tmpl w:val="48F2FB9E"/>
    <w:lvl w:ilvl="0" w:tplc="E1E6FA24">
      <w:start w:val="3"/>
      <w:numFmt w:val="decimal"/>
      <w:lvlText w:val="%1/4"/>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522C13"/>
    <w:multiLevelType w:val="hybridMultilevel"/>
    <w:tmpl w:val="211ECFFC"/>
    <w:lvl w:ilvl="0" w:tplc="5FCA4EFE">
      <w:start w:val="3"/>
      <w:numFmt w:val="decimal"/>
      <w:lvlText w:val="%1/2."/>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A7650E9"/>
    <w:multiLevelType w:val="hybridMultilevel"/>
    <w:tmpl w:val="5E36BFD4"/>
    <w:lvl w:ilvl="0" w:tplc="5FCA4EFE">
      <w:start w:val="3"/>
      <w:numFmt w:val="decimal"/>
      <w:lvlText w:val="%1/2."/>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7E2F1B6D"/>
    <w:multiLevelType w:val="hybridMultilevel"/>
    <w:tmpl w:val="0220EBA8"/>
    <w:lvl w:ilvl="0" w:tplc="A52282E4">
      <w:numFmt w:val="bullet"/>
      <w:lvlText w:val=""/>
      <w:lvlJc w:val="left"/>
      <w:pPr>
        <w:ind w:left="840" w:hanging="360"/>
      </w:pPr>
      <w:rPr>
        <w:rFonts w:ascii="Symbol" w:eastAsiaTheme="minorHAnsi" w:hAnsi="Symbol" w:cstheme="minorBidi"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2" w15:restartNumberingAfterBreak="0">
    <w:nsid w:val="7EE9072B"/>
    <w:multiLevelType w:val="hybridMultilevel"/>
    <w:tmpl w:val="E5AE08D0"/>
    <w:lvl w:ilvl="0" w:tplc="D6C60240">
      <w:start w:val="1"/>
      <w:numFmt w:val="bullet"/>
      <w:lvlText w:val=""/>
      <w:lvlJc w:val="left"/>
      <w:pPr>
        <w:tabs>
          <w:tab w:val="num" w:pos="1800"/>
        </w:tabs>
        <w:ind w:left="1800" w:hanging="360"/>
      </w:pPr>
      <w:rPr>
        <w:rFonts w:ascii="Symbol" w:hAnsi="Symbol" w:cs="Symbol" w:hint="default"/>
        <w:color w:val="auto"/>
      </w:rPr>
    </w:lvl>
    <w:lvl w:ilvl="1" w:tplc="357E7B42">
      <w:start w:val="1"/>
      <w:numFmt w:val="bullet"/>
      <w:lvlText w:val=""/>
      <w:lvlJc w:val="left"/>
      <w:pPr>
        <w:tabs>
          <w:tab w:val="num" w:pos="1440"/>
        </w:tabs>
        <w:ind w:left="1440" w:hanging="360"/>
      </w:pPr>
      <w:rPr>
        <w:rFonts w:ascii="Symbol" w:hAnsi="Symbol" w:cs="Symbol"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9"/>
  </w:num>
  <w:num w:numId="5">
    <w:abstractNumId w:val="12"/>
  </w:num>
  <w:num w:numId="6">
    <w:abstractNumId w:val="11"/>
  </w:num>
  <w:num w:numId="7">
    <w:abstractNumId w:val="5"/>
  </w:num>
  <w:num w:numId="8">
    <w:abstractNumId w:val="3"/>
  </w:num>
  <w:num w:numId="9">
    <w:abstractNumId w:val="8"/>
  </w:num>
  <w:num w:numId="10">
    <w:abstractNumId w:val="10"/>
  </w:num>
  <w:num w:numId="11">
    <w:abstractNumId w:val="7"/>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BFC"/>
    <w:rsid w:val="00000861"/>
    <w:rsid w:val="000023A8"/>
    <w:rsid w:val="00003C64"/>
    <w:rsid w:val="000042C2"/>
    <w:rsid w:val="00010391"/>
    <w:rsid w:val="00021CD2"/>
    <w:rsid w:val="000250AA"/>
    <w:rsid w:val="00026D65"/>
    <w:rsid w:val="0003232A"/>
    <w:rsid w:val="00037DAD"/>
    <w:rsid w:val="00047DFD"/>
    <w:rsid w:val="000505A6"/>
    <w:rsid w:val="000566C5"/>
    <w:rsid w:val="00056B95"/>
    <w:rsid w:val="00057EB5"/>
    <w:rsid w:val="00074B41"/>
    <w:rsid w:val="00076FD9"/>
    <w:rsid w:val="000847E3"/>
    <w:rsid w:val="00086749"/>
    <w:rsid w:val="00092D20"/>
    <w:rsid w:val="00093E91"/>
    <w:rsid w:val="00097609"/>
    <w:rsid w:val="00097BE0"/>
    <w:rsid w:val="000B6614"/>
    <w:rsid w:val="000C1BE0"/>
    <w:rsid w:val="000C3044"/>
    <w:rsid w:val="000C3DC0"/>
    <w:rsid w:val="000C4993"/>
    <w:rsid w:val="000C7679"/>
    <w:rsid w:val="000D017F"/>
    <w:rsid w:val="000D10C7"/>
    <w:rsid w:val="000D46A1"/>
    <w:rsid w:val="000D6E29"/>
    <w:rsid w:val="000D76B7"/>
    <w:rsid w:val="000E2F88"/>
    <w:rsid w:val="000F0343"/>
    <w:rsid w:val="000F03ED"/>
    <w:rsid w:val="000F26BF"/>
    <w:rsid w:val="000F3E3D"/>
    <w:rsid w:val="000F4B17"/>
    <w:rsid w:val="00101107"/>
    <w:rsid w:val="00101131"/>
    <w:rsid w:val="00102466"/>
    <w:rsid w:val="00102A1F"/>
    <w:rsid w:val="00104630"/>
    <w:rsid w:val="001063A8"/>
    <w:rsid w:val="00113F6F"/>
    <w:rsid w:val="001145E4"/>
    <w:rsid w:val="00121FDB"/>
    <w:rsid w:val="001322DA"/>
    <w:rsid w:val="00136C7A"/>
    <w:rsid w:val="00137DB7"/>
    <w:rsid w:val="00141CCF"/>
    <w:rsid w:val="001450E0"/>
    <w:rsid w:val="00160240"/>
    <w:rsid w:val="00162FE2"/>
    <w:rsid w:val="00167CD1"/>
    <w:rsid w:val="00171614"/>
    <w:rsid w:val="00183C52"/>
    <w:rsid w:val="0018508F"/>
    <w:rsid w:val="0019408D"/>
    <w:rsid w:val="00194839"/>
    <w:rsid w:val="00195945"/>
    <w:rsid w:val="001A24AA"/>
    <w:rsid w:val="001B0527"/>
    <w:rsid w:val="001B4299"/>
    <w:rsid w:val="001B4908"/>
    <w:rsid w:val="001B4E14"/>
    <w:rsid w:val="001B57CF"/>
    <w:rsid w:val="001B62B0"/>
    <w:rsid w:val="001C1339"/>
    <w:rsid w:val="001C23A8"/>
    <w:rsid w:val="001C3510"/>
    <w:rsid w:val="001C4011"/>
    <w:rsid w:val="001C4F64"/>
    <w:rsid w:val="001D06A4"/>
    <w:rsid w:val="001D55F6"/>
    <w:rsid w:val="001D7231"/>
    <w:rsid w:val="001E37C5"/>
    <w:rsid w:val="001E5288"/>
    <w:rsid w:val="001E55AB"/>
    <w:rsid w:val="001F38BF"/>
    <w:rsid w:val="001F5B84"/>
    <w:rsid w:val="0020038B"/>
    <w:rsid w:val="0020742B"/>
    <w:rsid w:val="00210AE7"/>
    <w:rsid w:val="00214272"/>
    <w:rsid w:val="0021667D"/>
    <w:rsid w:val="00216DE7"/>
    <w:rsid w:val="00222487"/>
    <w:rsid w:val="00222FE3"/>
    <w:rsid w:val="00223281"/>
    <w:rsid w:val="00225D27"/>
    <w:rsid w:val="002324A4"/>
    <w:rsid w:val="0024071D"/>
    <w:rsid w:val="00243CEA"/>
    <w:rsid w:val="00251604"/>
    <w:rsid w:val="00252FB5"/>
    <w:rsid w:val="00256EF5"/>
    <w:rsid w:val="00257A1E"/>
    <w:rsid w:val="002602A5"/>
    <w:rsid w:val="002606A9"/>
    <w:rsid w:val="0026184E"/>
    <w:rsid w:val="00261D8B"/>
    <w:rsid w:val="00265479"/>
    <w:rsid w:val="00271709"/>
    <w:rsid w:val="002764AE"/>
    <w:rsid w:val="00292F61"/>
    <w:rsid w:val="00294713"/>
    <w:rsid w:val="002A0B72"/>
    <w:rsid w:val="002A3DD4"/>
    <w:rsid w:val="002A691C"/>
    <w:rsid w:val="002B2288"/>
    <w:rsid w:val="002B407C"/>
    <w:rsid w:val="002B5565"/>
    <w:rsid w:val="002C26CF"/>
    <w:rsid w:val="002C4BC1"/>
    <w:rsid w:val="002D1395"/>
    <w:rsid w:val="002D2055"/>
    <w:rsid w:val="002E100B"/>
    <w:rsid w:val="002E32CF"/>
    <w:rsid w:val="002E748E"/>
    <w:rsid w:val="002F2B74"/>
    <w:rsid w:val="002F54E1"/>
    <w:rsid w:val="00302062"/>
    <w:rsid w:val="00307FCE"/>
    <w:rsid w:val="003143BD"/>
    <w:rsid w:val="00317E92"/>
    <w:rsid w:val="00322249"/>
    <w:rsid w:val="00322524"/>
    <w:rsid w:val="00341572"/>
    <w:rsid w:val="00346B54"/>
    <w:rsid w:val="003570A2"/>
    <w:rsid w:val="0035764B"/>
    <w:rsid w:val="003608A2"/>
    <w:rsid w:val="003618FC"/>
    <w:rsid w:val="00372AA7"/>
    <w:rsid w:val="00377B97"/>
    <w:rsid w:val="00377C8A"/>
    <w:rsid w:val="00383A6D"/>
    <w:rsid w:val="00384D9A"/>
    <w:rsid w:val="00384DA4"/>
    <w:rsid w:val="00385AC9"/>
    <w:rsid w:val="003864E7"/>
    <w:rsid w:val="003928A2"/>
    <w:rsid w:val="003A2C77"/>
    <w:rsid w:val="003A3FC3"/>
    <w:rsid w:val="003A793F"/>
    <w:rsid w:val="003B741F"/>
    <w:rsid w:val="003B7F74"/>
    <w:rsid w:val="003C0398"/>
    <w:rsid w:val="003C336D"/>
    <w:rsid w:val="003C3F41"/>
    <w:rsid w:val="003C4EEB"/>
    <w:rsid w:val="003C72BD"/>
    <w:rsid w:val="003C7A41"/>
    <w:rsid w:val="003D2009"/>
    <w:rsid w:val="003D4FD0"/>
    <w:rsid w:val="003D642C"/>
    <w:rsid w:val="003D6C41"/>
    <w:rsid w:val="003E4842"/>
    <w:rsid w:val="003E6A91"/>
    <w:rsid w:val="003E70B3"/>
    <w:rsid w:val="003F1D8A"/>
    <w:rsid w:val="003F51DE"/>
    <w:rsid w:val="004001B3"/>
    <w:rsid w:val="00402994"/>
    <w:rsid w:val="00402D4F"/>
    <w:rsid w:val="00406FA8"/>
    <w:rsid w:val="00407B48"/>
    <w:rsid w:val="0041738F"/>
    <w:rsid w:val="00421964"/>
    <w:rsid w:val="00430C0F"/>
    <w:rsid w:val="00432EA0"/>
    <w:rsid w:val="00441C72"/>
    <w:rsid w:val="004429D0"/>
    <w:rsid w:val="00451CC3"/>
    <w:rsid w:val="0045379E"/>
    <w:rsid w:val="00455CEF"/>
    <w:rsid w:val="00457395"/>
    <w:rsid w:val="00460BC0"/>
    <w:rsid w:val="0046250D"/>
    <w:rsid w:val="004671BE"/>
    <w:rsid w:val="00470B4B"/>
    <w:rsid w:val="00470D23"/>
    <w:rsid w:val="00473159"/>
    <w:rsid w:val="00486DF8"/>
    <w:rsid w:val="00491351"/>
    <w:rsid w:val="00492BBC"/>
    <w:rsid w:val="004A291C"/>
    <w:rsid w:val="004A62C9"/>
    <w:rsid w:val="004A71E8"/>
    <w:rsid w:val="004B0BB1"/>
    <w:rsid w:val="004B5691"/>
    <w:rsid w:val="004D3BF3"/>
    <w:rsid w:val="004D4180"/>
    <w:rsid w:val="004D5350"/>
    <w:rsid w:val="004E121A"/>
    <w:rsid w:val="004E6704"/>
    <w:rsid w:val="004E7078"/>
    <w:rsid w:val="004E7353"/>
    <w:rsid w:val="004E7669"/>
    <w:rsid w:val="004E7F25"/>
    <w:rsid w:val="004F0692"/>
    <w:rsid w:val="004F3A05"/>
    <w:rsid w:val="004F5D99"/>
    <w:rsid w:val="00500BFC"/>
    <w:rsid w:val="00500EAD"/>
    <w:rsid w:val="0052057C"/>
    <w:rsid w:val="005219DF"/>
    <w:rsid w:val="00521DD1"/>
    <w:rsid w:val="00523CCA"/>
    <w:rsid w:val="0052407E"/>
    <w:rsid w:val="00524773"/>
    <w:rsid w:val="005254FB"/>
    <w:rsid w:val="005319A6"/>
    <w:rsid w:val="00535E97"/>
    <w:rsid w:val="00535F4E"/>
    <w:rsid w:val="005378BE"/>
    <w:rsid w:val="00537E34"/>
    <w:rsid w:val="00537F6C"/>
    <w:rsid w:val="0055242B"/>
    <w:rsid w:val="005600FB"/>
    <w:rsid w:val="00560380"/>
    <w:rsid w:val="0056182E"/>
    <w:rsid w:val="0056589B"/>
    <w:rsid w:val="00566935"/>
    <w:rsid w:val="00566CFB"/>
    <w:rsid w:val="00573C56"/>
    <w:rsid w:val="00575711"/>
    <w:rsid w:val="0059267B"/>
    <w:rsid w:val="00592BB2"/>
    <w:rsid w:val="00596D26"/>
    <w:rsid w:val="005A6147"/>
    <w:rsid w:val="005B0928"/>
    <w:rsid w:val="005B4A62"/>
    <w:rsid w:val="005B5F61"/>
    <w:rsid w:val="005B6493"/>
    <w:rsid w:val="005C17EE"/>
    <w:rsid w:val="005C5DBA"/>
    <w:rsid w:val="005C62CE"/>
    <w:rsid w:val="005D0143"/>
    <w:rsid w:val="005D1F1D"/>
    <w:rsid w:val="005D5E5C"/>
    <w:rsid w:val="005E7A38"/>
    <w:rsid w:val="005F43A8"/>
    <w:rsid w:val="0060042A"/>
    <w:rsid w:val="006007D9"/>
    <w:rsid w:val="00612DB4"/>
    <w:rsid w:val="00616427"/>
    <w:rsid w:val="006216FF"/>
    <w:rsid w:val="00621902"/>
    <w:rsid w:val="0062390A"/>
    <w:rsid w:val="0062416A"/>
    <w:rsid w:val="006246C1"/>
    <w:rsid w:val="00630259"/>
    <w:rsid w:val="00634D90"/>
    <w:rsid w:val="0063563F"/>
    <w:rsid w:val="00636584"/>
    <w:rsid w:val="00637C19"/>
    <w:rsid w:val="0064143E"/>
    <w:rsid w:val="00641BF0"/>
    <w:rsid w:val="006422D9"/>
    <w:rsid w:val="00642F10"/>
    <w:rsid w:val="00653D6B"/>
    <w:rsid w:val="006565E2"/>
    <w:rsid w:val="0065753F"/>
    <w:rsid w:val="006576C7"/>
    <w:rsid w:val="00664211"/>
    <w:rsid w:val="00665B00"/>
    <w:rsid w:val="00667B15"/>
    <w:rsid w:val="00672AEA"/>
    <w:rsid w:val="0067565E"/>
    <w:rsid w:val="0067699E"/>
    <w:rsid w:val="00677773"/>
    <w:rsid w:val="00690159"/>
    <w:rsid w:val="00690632"/>
    <w:rsid w:val="006933CB"/>
    <w:rsid w:val="006A2D7E"/>
    <w:rsid w:val="006A3EBA"/>
    <w:rsid w:val="006A4ADE"/>
    <w:rsid w:val="006A7F4F"/>
    <w:rsid w:val="006B274F"/>
    <w:rsid w:val="006B514C"/>
    <w:rsid w:val="006B59AA"/>
    <w:rsid w:val="006B64A0"/>
    <w:rsid w:val="006B7462"/>
    <w:rsid w:val="006B75B4"/>
    <w:rsid w:val="006C69C0"/>
    <w:rsid w:val="006D3035"/>
    <w:rsid w:val="006D5BC9"/>
    <w:rsid w:val="006D5EF0"/>
    <w:rsid w:val="006D7F02"/>
    <w:rsid w:val="006E33E4"/>
    <w:rsid w:val="006E5AC7"/>
    <w:rsid w:val="006F6BB9"/>
    <w:rsid w:val="006F76A4"/>
    <w:rsid w:val="00700BC1"/>
    <w:rsid w:val="00701453"/>
    <w:rsid w:val="00705085"/>
    <w:rsid w:val="00706933"/>
    <w:rsid w:val="00707DAC"/>
    <w:rsid w:val="00710602"/>
    <w:rsid w:val="00711B82"/>
    <w:rsid w:val="00715834"/>
    <w:rsid w:val="00715D05"/>
    <w:rsid w:val="0071633F"/>
    <w:rsid w:val="007233F4"/>
    <w:rsid w:val="00731A91"/>
    <w:rsid w:val="00735F0D"/>
    <w:rsid w:val="007440EE"/>
    <w:rsid w:val="007527C7"/>
    <w:rsid w:val="00753952"/>
    <w:rsid w:val="00757025"/>
    <w:rsid w:val="0075780A"/>
    <w:rsid w:val="00761ADC"/>
    <w:rsid w:val="0076654E"/>
    <w:rsid w:val="00766EFE"/>
    <w:rsid w:val="007719AA"/>
    <w:rsid w:val="00771D2C"/>
    <w:rsid w:val="00776559"/>
    <w:rsid w:val="00782314"/>
    <w:rsid w:val="007904BC"/>
    <w:rsid w:val="00791103"/>
    <w:rsid w:val="00794378"/>
    <w:rsid w:val="00797784"/>
    <w:rsid w:val="00797A59"/>
    <w:rsid w:val="007A46F7"/>
    <w:rsid w:val="007A5B89"/>
    <w:rsid w:val="007A771F"/>
    <w:rsid w:val="007B1B41"/>
    <w:rsid w:val="007B2D62"/>
    <w:rsid w:val="007B47A4"/>
    <w:rsid w:val="007B6CAD"/>
    <w:rsid w:val="007C597F"/>
    <w:rsid w:val="007C6252"/>
    <w:rsid w:val="007D55E4"/>
    <w:rsid w:val="007E164A"/>
    <w:rsid w:val="007E1E28"/>
    <w:rsid w:val="007E4329"/>
    <w:rsid w:val="007E516B"/>
    <w:rsid w:val="007E5FF1"/>
    <w:rsid w:val="007F000A"/>
    <w:rsid w:val="007F068A"/>
    <w:rsid w:val="008017E2"/>
    <w:rsid w:val="00816792"/>
    <w:rsid w:val="00816B5D"/>
    <w:rsid w:val="00820B48"/>
    <w:rsid w:val="0082457D"/>
    <w:rsid w:val="00835083"/>
    <w:rsid w:val="0084356C"/>
    <w:rsid w:val="00843964"/>
    <w:rsid w:val="00845896"/>
    <w:rsid w:val="008543E3"/>
    <w:rsid w:val="008554A1"/>
    <w:rsid w:val="00857ECB"/>
    <w:rsid w:val="0086063D"/>
    <w:rsid w:val="00865AF3"/>
    <w:rsid w:val="00867E41"/>
    <w:rsid w:val="008702B7"/>
    <w:rsid w:val="008712B8"/>
    <w:rsid w:val="00873FCA"/>
    <w:rsid w:val="00874EDA"/>
    <w:rsid w:val="00875F29"/>
    <w:rsid w:val="00876944"/>
    <w:rsid w:val="008813C8"/>
    <w:rsid w:val="008826E8"/>
    <w:rsid w:val="008857E9"/>
    <w:rsid w:val="00893319"/>
    <w:rsid w:val="008941A6"/>
    <w:rsid w:val="008B3BFF"/>
    <w:rsid w:val="008C3FFB"/>
    <w:rsid w:val="008C42D8"/>
    <w:rsid w:val="008C6293"/>
    <w:rsid w:val="008C6A83"/>
    <w:rsid w:val="008D2E28"/>
    <w:rsid w:val="008D581E"/>
    <w:rsid w:val="008D753E"/>
    <w:rsid w:val="008E06D7"/>
    <w:rsid w:val="008E2B8D"/>
    <w:rsid w:val="008E3E59"/>
    <w:rsid w:val="008E4099"/>
    <w:rsid w:val="008E4346"/>
    <w:rsid w:val="008E5775"/>
    <w:rsid w:val="008F2AB0"/>
    <w:rsid w:val="008F30D5"/>
    <w:rsid w:val="008F411A"/>
    <w:rsid w:val="008F7044"/>
    <w:rsid w:val="00901C19"/>
    <w:rsid w:val="00903A78"/>
    <w:rsid w:val="00906274"/>
    <w:rsid w:val="00906D9A"/>
    <w:rsid w:val="00907B02"/>
    <w:rsid w:val="009102BC"/>
    <w:rsid w:val="00914327"/>
    <w:rsid w:val="00920743"/>
    <w:rsid w:val="00920B95"/>
    <w:rsid w:val="009245C8"/>
    <w:rsid w:val="00934BFC"/>
    <w:rsid w:val="00934EDC"/>
    <w:rsid w:val="0094164F"/>
    <w:rsid w:val="00942B9B"/>
    <w:rsid w:val="00945597"/>
    <w:rsid w:val="009459CF"/>
    <w:rsid w:val="00946D14"/>
    <w:rsid w:val="0095136C"/>
    <w:rsid w:val="0095523B"/>
    <w:rsid w:val="00961248"/>
    <w:rsid w:val="00963E31"/>
    <w:rsid w:val="009665C3"/>
    <w:rsid w:val="00970B9D"/>
    <w:rsid w:val="0098006B"/>
    <w:rsid w:val="00980974"/>
    <w:rsid w:val="00981BDC"/>
    <w:rsid w:val="009A2D67"/>
    <w:rsid w:val="009A430A"/>
    <w:rsid w:val="009A7350"/>
    <w:rsid w:val="009B47C4"/>
    <w:rsid w:val="009B6C39"/>
    <w:rsid w:val="009B7957"/>
    <w:rsid w:val="009C0578"/>
    <w:rsid w:val="009C20D7"/>
    <w:rsid w:val="009C27F4"/>
    <w:rsid w:val="009C4727"/>
    <w:rsid w:val="009C4786"/>
    <w:rsid w:val="009C4A2A"/>
    <w:rsid w:val="009C5A8B"/>
    <w:rsid w:val="009C6407"/>
    <w:rsid w:val="009C7968"/>
    <w:rsid w:val="009C7F92"/>
    <w:rsid w:val="009D4245"/>
    <w:rsid w:val="009D58A9"/>
    <w:rsid w:val="009D5979"/>
    <w:rsid w:val="009E0D61"/>
    <w:rsid w:val="009E227A"/>
    <w:rsid w:val="009E2B66"/>
    <w:rsid w:val="009E5742"/>
    <w:rsid w:val="009F2D35"/>
    <w:rsid w:val="009F327E"/>
    <w:rsid w:val="009F512D"/>
    <w:rsid w:val="009F6686"/>
    <w:rsid w:val="00A01032"/>
    <w:rsid w:val="00A014E5"/>
    <w:rsid w:val="00A023F6"/>
    <w:rsid w:val="00A049F0"/>
    <w:rsid w:val="00A05557"/>
    <w:rsid w:val="00A06F6D"/>
    <w:rsid w:val="00A122A8"/>
    <w:rsid w:val="00A167C7"/>
    <w:rsid w:val="00A20CDD"/>
    <w:rsid w:val="00A21071"/>
    <w:rsid w:val="00A21F54"/>
    <w:rsid w:val="00A369BD"/>
    <w:rsid w:val="00A45C3A"/>
    <w:rsid w:val="00A46929"/>
    <w:rsid w:val="00A5046A"/>
    <w:rsid w:val="00A715C5"/>
    <w:rsid w:val="00A7249B"/>
    <w:rsid w:val="00A73658"/>
    <w:rsid w:val="00A7464B"/>
    <w:rsid w:val="00A81966"/>
    <w:rsid w:val="00A83A54"/>
    <w:rsid w:val="00A86C4A"/>
    <w:rsid w:val="00A921AA"/>
    <w:rsid w:val="00A97546"/>
    <w:rsid w:val="00AA04DC"/>
    <w:rsid w:val="00AB11DD"/>
    <w:rsid w:val="00AB4F67"/>
    <w:rsid w:val="00AC0815"/>
    <w:rsid w:val="00AC6263"/>
    <w:rsid w:val="00AD2D25"/>
    <w:rsid w:val="00AD3820"/>
    <w:rsid w:val="00AD5A1A"/>
    <w:rsid w:val="00AD67CF"/>
    <w:rsid w:val="00AE1B25"/>
    <w:rsid w:val="00AF0275"/>
    <w:rsid w:val="00AF3B87"/>
    <w:rsid w:val="00AF67E7"/>
    <w:rsid w:val="00AF6E46"/>
    <w:rsid w:val="00AF763D"/>
    <w:rsid w:val="00B15A6F"/>
    <w:rsid w:val="00B1696C"/>
    <w:rsid w:val="00B22772"/>
    <w:rsid w:val="00B2545F"/>
    <w:rsid w:val="00B35C9E"/>
    <w:rsid w:val="00B40ED7"/>
    <w:rsid w:val="00B42A6A"/>
    <w:rsid w:val="00B4546D"/>
    <w:rsid w:val="00B4671F"/>
    <w:rsid w:val="00B46E6A"/>
    <w:rsid w:val="00B4772E"/>
    <w:rsid w:val="00B55024"/>
    <w:rsid w:val="00B553C5"/>
    <w:rsid w:val="00B5670F"/>
    <w:rsid w:val="00B60731"/>
    <w:rsid w:val="00B62D36"/>
    <w:rsid w:val="00B70AB8"/>
    <w:rsid w:val="00B72860"/>
    <w:rsid w:val="00B73805"/>
    <w:rsid w:val="00B82971"/>
    <w:rsid w:val="00B871FF"/>
    <w:rsid w:val="00B87776"/>
    <w:rsid w:val="00B94028"/>
    <w:rsid w:val="00B96AA0"/>
    <w:rsid w:val="00BA0855"/>
    <w:rsid w:val="00BA20C0"/>
    <w:rsid w:val="00BA2143"/>
    <w:rsid w:val="00BA2F63"/>
    <w:rsid w:val="00BA44E9"/>
    <w:rsid w:val="00BA68C3"/>
    <w:rsid w:val="00BA7A19"/>
    <w:rsid w:val="00BB3836"/>
    <w:rsid w:val="00BC1C6F"/>
    <w:rsid w:val="00BC20C5"/>
    <w:rsid w:val="00BC2C1D"/>
    <w:rsid w:val="00BC35D0"/>
    <w:rsid w:val="00BD288A"/>
    <w:rsid w:val="00BD7BF3"/>
    <w:rsid w:val="00BE1261"/>
    <w:rsid w:val="00BE2B03"/>
    <w:rsid w:val="00BF358E"/>
    <w:rsid w:val="00BF4018"/>
    <w:rsid w:val="00BF46D1"/>
    <w:rsid w:val="00BF57AF"/>
    <w:rsid w:val="00C03B77"/>
    <w:rsid w:val="00C11134"/>
    <w:rsid w:val="00C12F8C"/>
    <w:rsid w:val="00C144F8"/>
    <w:rsid w:val="00C15C73"/>
    <w:rsid w:val="00C16CA0"/>
    <w:rsid w:val="00C1780B"/>
    <w:rsid w:val="00C22268"/>
    <w:rsid w:val="00C22AEB"/>
    <w:rsid w:val="00C23D18"/>
    <w:rsid w:val="00C36542"/>
    <w:rsid w:val="00C411B4"/>
    <w:rsid w:val="00C44044"/>
    <w:rsid w:val="00C461E4"/>
    <w:rsid w:val="00C478E6"/>
    <w:rsid w:val="00C65504"/>
    <w:rsid w:val="00C7768B"/>
    <w:rsid w:val="00C870F7"/>
    <w:rsid w:val="00C90AD0"/>
    <w:rsid w:val="00C93251"/>
    <w:rsid w:val="00C93BEE"/>
    <w:rsid w:val="00CA352B"/>
    <w:rsid w:val="00CA4153"/>
    <w:rsid w:val="00CA4DBA"/>
    <w:rsid w:val="00CB1181"/>
    <w:rsid w:val="00CB5DA1"/>
    <w:rsid w:val="00CC3F91"/>
    <w:rsid w:val="00CC40DE"/>
    <w:rsid w:val="00CD054A"/>
    <w:rsid w:val="00CD559D"/>
    <w:rsid w:val="00CE2670"/>
    <w:rsid w:val="00CE271C"/>
    <w:rsid w:val="00CE3F3B"/>
    <w:rsid w:val="00CE6544"/>
    <w:rsid w:val="00CE6851"/>
    <w:rsid w:val="00CE75E1"/>
    <w:rsid w:val="00CE7C2D"/>
    <w:rsid w:val="00CF0794"/>
    <w:rsid w:val="00CF54F9"/>
    <w:rsid w:val="00CF5DEA"/>
    <w:rsid w:val="00CF7C07"/>
    <w:rsid w:val="00CF7D52"/>
    <w:rsid w:val="00D01171"/>
    <w:rsid w:val="00D0642A"/>
    <w:rsid w:val="00D11136"/>
    <w:rsid w:val="00D11D97"/>
    <w:rsid w:val="00D12F45"/>
    <w:rsid w:val="00D13239"/>
    <w:rsid w:val="00D15306"/>
    <w:rsid w:val="00D2426E"/>
    <w:rsid w:val="00D25D86"/>
    <w:rsid w:val="00D31B79"/>
    <w:rsid w:val="00D344F0"/>
    <w:rsid w:val="00D41B09"/>
    <w:rsid w:val="00D42D30"/>
    <w:rsid w:val="00D4650A"/>
    <w:rsid w:val="00D477D2"/>
    <w:rsid w:val="00D5072A"/>
    <w:rsid w:val="00D54E37"/>
    <w:rsid w:val="00D56C04"/>
    <w:rsid w:val="00D57676"/>
    <w:rsid w:val="00D63A21"/>
    <w:rsid w:val="00D65E41"/>
    <w:rsid w:val="00D75511"/>
    <w:rsid w:val="00D81CA1"/>
    <w:rsid w:val="00D82BFC"/>
    <w:rsid w:val="00D8545B"/>
    <w:rsid w:val="00D92775"/>
    <w:rsid w:val="00DA588F"/>
    <w:rsid w:val="00DB0AD5"/>
    <w:rsid w:val="00DB35AA"/>
    <w:rsid w:val="00DB507F"/>
    <w:rsid w:val="00DB5B2C"/>
    <w:rsid w:val="00DB6E6D"/>
    <w:rsid w:val="00DC5E90"/>
    <w:rsid w:val="00DD5A1E"/>
    <w:rsid w:val="00DD639E"/>
    <w:rsid w:val="00DD6BBC"/>
    <w:rsid w:val="00DF2212"/>
    <w:rsid w:val="00DF3BD1"/>
    <w:rsid w:val="00E02886"/>
    <w:rsid w:val="00E068D2"/>
    <w:rsid w:val="00E076D4"/>
    <w:rsid w:val="00E11270"/>
    <w:rsid w:val="00E12BFA"/>
    <w:rsid w:val="00E13667"/>
    <w:rsid w:val="00E239DE"/>
    <w:rsid w:val="00E25248"/>
    <w:rsid w:val="00E25708"/>
    <w:rsid w:val="00E314F7"/>
    <w:rsid w:val="00E36F3E"/>
    <w:rsid w:val="00E37447"/>
    <w:rsid w:val="00E41C28"/>
    <w:rsid w:val="00E42B81"/>
    <w:rsid w:val="00E44752"/>
    <w:rsid w:val="00E504A0"/>
    <w:rsid w:val="00E557A7"/>
    <w:rsid w:val="00E60E11"/>
    <w:rsid w:val="00E65C09"/>
    <w:rsid w:val="00E71A57"/>
    <w:rsid w:val="00E72432"/>
    <w:rsid w:val="00E8010D"/>
    <w:rsid w:val="00E847EC"/>
    <w:rsid w:val="00E849D2"/>
    <w:rsid w:val="00E84EA3"/>
    <w:rsid w:val="00E90316"/>
    <w:rsid w:val="00E915F4"/>
    <w:rsid w:val="00E9297F"/>
    <w:rsid w:val="00E955D9"/>
    <w:rsid w:val="00E96EE6"/>
    <w:rsid w:val="00EA2899"/>
    <w:rsid w:val="00EA2BEB"/>
    <w:rsid w:val="00EA5482"/>
    <w:rsid w:val="00EA6D85"/>
    <w:rsid w:val="00EB3045"/>
    <w:rsid w:val="00EB375B"/>
    <w:rsid w:val="00EC0520"/>
    <w:rsid w:val="00EC213D"/>
    <w:rsid w:val="00EC3C0F"/>
    <w:rsid w:val="00EC6CD5"/>
    <w:rsid w:val="00ED2827"/>
    <w:rsid w:val="00ED2B25"/>
    <w:rsid w:val="00EE4857"/>
    <w:rsid w:val="00EE5685"/>
    <w:rsid w:val="00EE7291"/>
    <w:rsid w:val="00EF193D"/>
    <w:rsid w:val="00EF76D9"/>
    <w:rsid w:val="00F0183E"/>
    <w:rsid w:val="00F05B4B"/>
    <w:rsid w:val="00F05D05"/>
    <w:rsid w:val="00F06ADE"/>
    <w:rsid w:val="00F101E2"/>
    <w:rsid w:val="00F13FFC"/>
    <w:rsid w:val="00F242C9"/>
    <w:rsid w:val="00F26A4A"/>
    <w:rsid w:val="00F26A8E"/>
    <w:rsid w:val="00F306CB"/>
    <w:rsid w:val="00F326B0"/>
    <w:rsid w:val="00F348FE"/>
    <w:rsid w:val="00F34F43"/>
    <w:rsid w:val="00F36434"/>
    <w:rsid w:val="00F400F6"/>
    <w:rsid w:val="00F42241"/>
    <w:rsid w:val="00F44079"/>
    <w:rsid w:val="00F4447D"/>
    <w:rsid w:val="00F50E82"/>
    <w:rsid w:val="00F51E87"/>
    <w:rsid w:val="00F5211A"/>
    <w:rsid w:val="00F530A7"/>
    <w:rsid w:val="00F65809"/>
    <w:rsid w:val="00F72B09"/>
    <w:rsid w:val="00F803D9"/>
    <w:rsid w:val="00F82519"/>
    <w:rsid w:val="00F82964"/>
    <w:rsid w:val="00F837FA"/>
    <w:rsid w:val="00F86C3A"/>
    <w:rsid w:val="00FA1FC8"/>
    <w:rsid w:val="00FA4D2B"/>
    <w:rsid w:val="00FA61CB"/>
    <w:rsid w:val="00FA6FFD"/>
    <w:rsid w:val="00FB0BA3"/>
    <w:rsid w:val="00FB2966"/>
    <w:rsid w:val="00FB52E9"/>
    <w:rsid w:val="00FC0108"/>
    <w:rsid w:val="00FC2111"/>
    <w:rsid w:val="00FD58F2"/>
    <w:rsid w:val="00FD64EC"/>
    <w:rsid w:val="00FE1E46"/>
    <w:rsid w:val="00FE5E02"/>
    <w:rsid w:val="00FE5E92"/>
    <w:rsid w:val="00FF145F"/>
    <w:rsid w:val="00FF3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F9D1A08-CABD-4168-B56C-E0583D7B4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uiPriority w:val="59"/>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rsid w:val="00573C56"/>
    <w:pPr>
      <w:ind w:left="720"/>
      <w:contextualSpacing/>
    </w:pPr>
  </w:style>
  <w:style w:type="paragraph" w:styleId="Subtitle">
    <w:name w:val="Subtitle"/>
    <w:basedOn w:val="Normal"/>
    <w:link w:val="SubtitleChar"/>
    <w:qFormat/>
    <w:rsid w:val="00776559"/>
    <w:pPr>
      <w:overflowPunct w:val="0"/>
      <w:autoSpaceDE w:val="0"/>
      <w:autoSpaceDN w:val="0"/>
      <w:adjustRightInd w:val="0"/>
      <w:spacing w:after="0" w:line="240" w:lineRule="auto"/>
      <w:textAlignment w:val="baseline"/>
    </w:pPr>
    <w:rPr>
      <w:rFonts w:ascii="Comic Sans MS" w:eastAsia="Times New Roman" w:hAnsi="Comic Sans MS" w:cs="Times New Roman"/>
      <w:b/>
      <w:sz w:val="24"/>
      <w:szCs w:val="20"/>
    </w:rPr>
  </w:style>
  <w:style w:type="character" w:customStyle="1" w:styleId="SubtitleChar">
    <w:name w:val="Subtitle Char"/>
    <w:basedOn w:val="DefaultParagraphFont"/>
    <w:link w:val="Subtitle"/>
    <w:rsid w:val="00776559"/>
    <w:rPr>
      <w:rFonts w:ascii="Comic Sans MS" w:eastAsia="Times New Roman" w:hAnsi="Comic Sans MS" w:cs="Times New Roman"/>
      <w:b/>
      <w:sz w:val="24"/>
      <w:szCs w:val="20"/>
    </w:rPr>
  </w:style>
  <w:style w:type="paragraph" w:styleId="BodyText2">
    <w:name w:val="Body Text 2"/>
    <w:basedOn w:val="Normal"/>
    <w:link w:val="BodyText2Char"/>
    <w:rsid w:val="00C15C73"/>
    <w:pPr>
      <w:overflowPunct w:val="0"/>
      <w:autoSpaceDE w:val="0"/>
      <w:autoSpaceDN w:val="0"/>
      <w:adjustRightInd w:val="0"/>
      <w:spacing w:after="0" w:line="240" w:lineRule="auto"/>
      <w:ind w:left="270" w:hanging="270"/>
      <w:textAlignment w:val="baseline"/>
    </w:pPr>
    <w:rPr>
      <w:rFonts w:ascii="Comic Sans MS" w:eastAsia="Times New Roman" w:hAnsi="Comic Sans MS" w:cs="Times New Roman"/>
      <w:sz w:val="24"/>
      <w:szCs w:val="20"/>
    </w:rPr>
  </w:style>
  <w:style w:type="character" w:customStyle="1" w:styleId="BodyText2Char">
    <w:name w:val="Body Text 2 Char"/>
    <w:basedOn w:val="DefaultParagraphFont"/>
    <w:link w:val="BodyText2"/>
    <w:rsid w:val="00C15C73"/>
    <w:rPr>
      <w:rFonts w:ascii="Comic Sans MS" w:eastAsia="Times New Roman" w:hAnsi="Comic Sans MS" w:cs="Times New Roman"/>
      <w:sz w:val="24"/>
      <w:szCs w:val="20"/>
    </w:rPr>
  </w:style>
  <w:style w:type="character" w:styleId="Hyperlink">
    <w:name w:val="Hyperlink"/>
    <w:basedOn w:val="DefaultParagraphFont"/>
    <w:uiPriority w:val="99"/>
    <w:unhideWhenUsed/>
    <w:rsid w:val="007C6252"/>
    <w:rPr>
      <w:color w:val="0000FF" w:themeColor="hyperlink"/>
      <w:u w:val="single"/>
    </w:rPr>
  </w:style>
  <w:style w:type="paragraph" w:styleId="NormalWeb">
    <w:name w:val="Normal (Web)"/>
    <w:basedOn w:val="Normal"/>
    <w:uiPriority w:val="99"/>
    <w:unhideWhenUsed/>
    <w:rsid w:val="007E5FF1"/>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5600FB"/>
    <w:rPr>
      <w:color w:val="800080" w:themeColor="followedHyperlink"/>
      <w:u w:val="single"/>
    </w:rPr>
  </w:style>
  <w:style w:type="character" w:styleId="Emphasis">
    <w:name w:val="Emphasis"/>
    <w:basedOn w:val="DefaultParagraphFont"/>
    <w:uiPriority w:val="20"/>
    <w:qFormat/>
    <w:rsid w:val="00CE6851"/>
    <w:rPr>
      <w:i/>
      <w:iCs/>
    </w:rPr>
  </w:style>
  <w:style w:type="character" w:styleId="CommentReference">
    <w:name w:val="annotation reference"/>
    <w:basedOn w:val="DefaultParagraphFont"/>
    <w:uiPriority w:val="99"/>
    <w:semiHidden/>
    <w:unhideWhenUsed/>
    <w:rsid w:val="001B57CF"/>
    <w:rPr>
      <w:sz w:val="16"/>
      <w:szCs w:val="16"/>
    </w:rPr>
  </w:style>
  <w:style w:type="paragraph" w:styleId="CommentText">
    <w:name w:val="annotation text"/>
    <w:basedOn w:val="Normal"/>
    <w:link w:val="CommentTextChar"/>
    <w:uiPriority w:val="99"/>
    <w:semiHidden/>
    <w:unhideWhenUsed/>
    <w:rsid w:val="001B57CF"/>
    <w:pPr>
      <w:spacing w:line="240" w:lineRule="auto"/>
    </w:pPr>
    <w:rPr>
      <w:sz w:val="20"/>
      <w:szCs w:val="20"/>
    </w:rPr>
  </w:style>
  <w:style w:type="character" w:customStyle="1" w:styleId="CommentTextChar">
    <w:name w:val="Comment Text Char"/>
    <w:basedOn w:val="DefaultParagraphFont"/>
    <w:link w:val="CommentText"/>
    <w:uiPriority w:val="99"/>
    <w:semiHidden/>
    <w:rsid w:val="001B57CF"/>
    <w:rPr>
      <w:sz w:val="20"/>
      <w:szCs w:val="20"/>
    </w:rPr>
  </w:style>
  <w:style w:type="character" w:customStyle="1" w:styleId="UnresolvedMention1">
    <w:name w:val="Unresolved Mention1"/>
    <w:basedOn w:val="DefaultParagraphFont"/>
    <w:uiPriority w:val="99"/>
    <w:semiHidden/>
    <w:unhideWhenUsed/>
    <w:rsid w:val="00575711"/>
    <w:rPr>
      <w:color w:val="605E5C"/>
      <w:shd w:val="clear" w:color="auto" w:fill="E1DFDD"/>
    </w:rPr>
  </w:style>
  <w:style w:type="paragraph" w:styleId="Revision">
    <w:name w:val="Revision"/>
    <w:hidden/>
    <w:uiPriority w:val="99"/>
    <w:semiHidden/>
    <w:rsid w:val="00A06F6D"/>
    <w:pPr>
      <w:spacing w:after="0" w:line="240" w:lineRule="auto"/>
    </w:pPr>
  </w:style>
  <w:style w:type="paragraph" w:styleId="CommentSubject">
    <w:name w:val="annotation subject"/>
    <w:basedOn w:val="CommentText"/>
    <w:next w:val="CommentText"/>
    <w:link w:val="CommentSubjectChar"/>
    <w:uiPriority w:val="99"/>
    <w:semiHidden/>
    <w:unhideWhenUsed/>
    <w:rsid w:val="00C16CA0"/>
    <w:rPr>
      <w:b/>
      <w:bCs/>
    </w:rPr>
  </w:style>
  <w:style w:type="character" w:customStyle="1" w:styleId="CommentSubjectChar">
    <w:name w:val="Comment Subject Char"/>
    <w:basedOn w:val="CommentTextChar"/>
    <w:link w:val="CommentSubject"/>
    <w:uiPriority w:val="99"/>
    <w:semiHidden/>
    <w:rsid w:val="00C16CA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266352641">
      <w:bodyDiv w:val="1"/>
      <w:marLeft w:val="0"/>
      <w:marRight w:val="0"/>
      <w:marTop w:val="0"/>
      <w:marBottom w:val="0"/>
      <w:divBdr>
        <w:top w:val="none" w:sz="0" w:space="0" w:color="auto"/>
        <w:left w:val="none" w:sz="0" w:space="0" w:color="auto"/>
        <w:bottom w:val="none" w:sz="0" w:space="0" w:color="auto"/>
        <w:right w:val="none" w:sz="0" w:space="0" w:color="auto"/>
      </w:divBdr>
    </w:div>
    <w:div w:id="649602836">
      <w:bodyDiv w:val="1"/>
      <w:marLeft w:val="0"/>
      <w:marRight w:val="0"/>
      <w:marTop w:val="0"/>
      <w:marBottom w:val="0"/>
      <w:divBdr>
        <w:top w:val="none" w:sz="0" w:space="0" w:color="auto"/>
        <w:left w:val="none" w:sz="0" w:space="0" w:color="auto"/>
        <w:bottom w:val="none" w:sz="0" w:space="0" w:color="auto"/>
        <w:right w:val="none" w:sz="0" w:space="0" w:color="auto"/>
      </w:divBdr>
    </w:div>
    <w:div w:id="779764195">
      <w:bodyDiv w:val="1"/>
      <w:marLeft w:val="0"/>
      <w:marRight w:val="0"/>
      <w:marTop w:val="0"/>
      <w:marBottom w:val="0"/>
      <w:divBdr>
        <w:top w:val="none" w:sz="0" w:space="0" w:color="auto"/>
        <w:left w:val="none" w:sz="0" w:space="0" w:color="auto"/>
        <w:bottom w:val="none" w:sz="0" w:space="0" w:color="auto"/>
        <w:right w:val="none" w:sz="0" w:space="0" w:color="auto"/>
      </w:divBdr>
    </w:div>
    <w:div w:id="1094668925">
      <w:bodyDiv w:val="1"/>
      <w:marLeft w:val="0"/>
      <w:marRight w:val="0"/>
      <w:marTop w:val="0"/>
      <w:marBottom w:val="0"/>
      <w:divBdr>
        <w:top w:val="none" w:sz="0" w:space="0" w:color="auto"/>
        <w:left w:val="none" w:sz="0" w:space="0" w:color="auto"/>
        <w:bottom w:val="none" w:sz="0" w:space="0" w:color="auto"/>
        <w:right w:val="none" w:sz="0" w:space="0" w:color="auto"/>
      </w:divBdr>
    </w:div>
    <w:div w:id="1236819840">
      <w:bodyDiv w:val="1"/>
      <w:marLeft w:val="0"/>
      <w:marRight w:val="0"/>
      <w:marTop w:val="0"/>
      <w:marBottom w:val="0"/>
      <w:divBdr>
        <w:top w:val="none" w:sz="0" w:space="0" w:color="auto"/>
        <w:left w:val="none" w:sz="0" w:space="0" w:color="auto"/>
        <w:bottom w:val="none" w:sz="0" w:space="0" w:color="auto"/>
        <w:right w:val="none" w:sz="0" w:space="0" w:color="auto"/>
      </w:divBdr>
    </w:div>
    <w:div w:id="1561135144">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756200036">
      <w:bodyDiv w:val="1"/>
      <w:marLeft w:val="0"/>
      <w:marRight w:val="0"/>
      <w:marTop w:val="0"/>
      <w:marBottom w:val="0"/>
      <w:divBdr>
        <w:top w:val="none" w:sz="0" w:space="0" w:color="auto"/>
        <w:left w:val="none" w:sz="0" w:space="0" w:color="auto"/>
        <w:bottom w:val="none" w:sz="0" w:space="0" w:color="auto"/>
        <w:right w:val="none" w:sz="0" w:space="0" w:color="auto"/>
      </w:divBdr>
    </w:div>
    <w:div w:id="1818569467">
      <w:bodyDiv w:val="1"/>
      <w:marLeft w:val="0"/>
      <w:marRight w:val="0"/>
      <w:marTop w:val="0"/>
      <w:marBottom w:val="0"/>
      <w:divBdr>
        <w:top w:val="none" w:sz="0" w:space="0" w:color="auto"/>
        <w:left w:val="none" w:sz="0" w:space="0" w:color="auto"/>
        <w:bottom w:val="none" w:sz="0" w:space="0" w:color="auto"/>
        <w:right w:val="none" w:sz="0" w:space="0" w:color="auto"/>
      </w:divBdr>
    </w:div>
    <w:div w:id="2067142127">
      <w:bodyDiv w:val="1"/>
      <w:marLeft w:val="0"/>
      <w:marRight w:val="0"/>
      <w:marTop w:val="0"/>
      <w:marBottom w:val="0"/>
      <w:divBdr>
        <w:top w:val="none" w:sz="0" w:space="0" w:color="auto"/>
        <w:left w:val="none" w:sz="0" w:space="0" w:color="auto"/>
        <w:bottom w:val="none" w:sz="0" w:space="0" w:color="auto"/>
        <w:right w:val="none" w:sz="0" w:space="0" w:color="auto"/>
      </w:divBdr>
      <w:divsChild>
        <w:div w:id="521212008">
          <w:marLeft w:val="0"/>
          <w:marRight w:val="0"/>
          <w:marTop w:val="0"/>
          <w:marBottom w:val="0"/>
          <w:divBdr>
            <w:top w:val="none" w:sz="0" w:space="0" w:color="auto"/>
            <w:left w:val="none" w:sz="0" w:space="0" w:color="auto"/>
            <w:bottom w:val="none" w:sz="0" w:space="0" w:color="auto"/>
            <w:right w:val="none" w:sz="0" w:space="0" w:color="auto"/>
          </w:divBdr>
          <w:divsChild>
            <w:div w:id="659113216">
              <w:marLeft w:val="0"/>
              <w:marRight w:val="0"/>
              <w:marTop w:val="0"/>
              <w:marBottom w:val="199"/>
              <w:divBdr>
                <w:top w:val="none" w:sz="0" w:space="0" w:color="auto"/>
                <w:left w:val="none" w:sz="0" w:space="0" w:color="auto"/>
                <w:bottom w:val="none" w:sz="0" w:space="0" w:color="auto"/>
                <w:right w:val="none" w:sz="0" w:space="0" w:color="auto"/>
              </w:divBdr>
              <w:divsChild>
                <w:div w:id="137561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5907209">
      <w:bodyDiv w:val="1"/>
      <w:marLeft w:val="0"/>
      <w:marRight w:val="0"/>
      <w:marTop w:val="0"/>
      <w:marBottom w:val="0"/>
      <w:divBdr>
        <w:top w:val="none" w:sz="0" w:space="0" w:color="auto"/>
        <w:left w:val="none" w:sz="0" w:space="0" w:color="auto"/>
        <w:bottom w:val="none" w:sz="0" w:space="0" w:color="auto"/>
        <w:right w:val="none" w:sz="0" w:space="0" w:color="auto"/>
      </w:divBdr>
      <w:divsChild>
        <w:div w:id="32508085">
          <w:marLeft w:val="0"/>
          <w:marRight w:val="0"/>
          <w:marTop w:val="0"/>
          <w:marBottom w:val="0"/>
          <w:divBdr>
            <w:top w:val="none" w:sz="0" w:space="0" w:color="auto"/>
            <w:left w:val="none" w:sz="0" w:space="0" w:color="auto"/>
            <w:bottom w:val="none" w:sz="0" w:space="0" w:color="auto"/>
            <w:right w:val="none" w:sz="0" w:space="0" w:color="auto"/>
          </w:divBdr>
          <w:divsChild>
            <w:div w:id="522599762">
              <w:marLeft w:val="0"/>
              <w:marRight w:val="0"/>
              <w:marTop w:val="0"/>
              <w:marBottom w:val="199"/>
              <w:divBdr>
                <w:top w:val="none" w:sz="0" w:space="0" w:color="auto"/>
                <w:left w:val="none" w:sz="0" w:space="0" w:color="auto"/>
                <w:bottom w:val="none" w:sz="0" w:space="0" w:color="auto"/>
                <w:right w:val="none" w:sz="0" w:space="0" w:color="auto"/>
              </w:divBdr>
              <w:divsChild>
                <w:div w:id="124074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z2015@columbia.ed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atestreet.com/events/statestreetlive/stt-live-esg-forum-2019/george-serafeim.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unpri.org/fiduciary-duty-in-the-21st-century-final-report/4998.article" TargetMode="External"/><Relationship Id="rId4" Type="http://schemas.openxmlformats.org/officeDocument/2006/relationships/settings" Target="settings.xml"/><Relationship Id="rId9" Type="http://schemas.openxmlformats.org/officeDocument/2006/relationships/hyperlink" Target="https://www.statestreet.com/events/statestreetlive/stt-live-esg-forum-2019/roberto-rigobon.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3CFBE-E16E-4B74-ACFA-E4A601C4F5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9968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Jerman, Leticia</dc:creator>
  <cp:lastModifiedBy>Elisabeth Friedman</cp:lastModifiedBy>
  <cp:revision>4</cp:revision>
  <cp:lastPrinted>2020-07-20T19:02:00Z</cp:lastPrinted>
  <dcterms:created xsi:type="dcterms:W3CDTF">2020-11-09T20:27:00Z</dcterms:created>
  <dcterms:modified xsi:type="dcterms:W3CDTF">2020-11-10T16:01:00Z</dcterms:modified>
</cp:coreProperties>
</file>