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44" w:rsidRDefault="00A64644" w:rsidP="002C792D">
      <w:pPr>
        <w:jc w:val="center"/>
        <w:rPr>
          <w:rStyle w:val="tgc"/>
          <w:rFonts w:ascii="Times New Roman" w:hAnsi="Times New Roman"/>
          <w:b/>
          <w:bCs/>
          <w:sz w:val="24"/>
          <w:szCs w:val="24"/>
        </w:rPr>
      </w:pPr>
      <w:r w:rsidRPr="00245C11">
        <w:rPr>
          <w:rStyle w:val="tgc"/>
          <w:rFonts w:ascii="Times New Roman" w:hAnsi="Times New Roman"/>
          <w:b/>
          <w:bCs/>
          <w:sz w:val="24"/>
          <w:szCs w:val="24"/>
        </w:rPr>
        <w:t>Economics of healthcare and pharmaceuticals</w:t>
      </w:r>
    </w:p>
    <w:p w:rsidR="00245C11" w:rsidRPr="00245C11" w:rsidRDefault="00245C11" w:rsidP="00245C11">
      <w:pPr>
        <w:jc w:val="center"/>
        <w:rPr>
          <w:rStyle w:val="tgc"/>
          <w:rFonts w:ascii="Times New Roman" w:hAnsi="Times New Roman"/>
          <w:b/>
          <w:bCs/>
          <w:sz w:val="24"/>
          <w:szCs w:val="24"/>
        </w:rPr>
      </w:pPr>
      <w:r>
        <w:rPr>
          <w:rStyle w:val="tgc"/>
          <w:rFonts w:ascii="Times New Roman" w:hAnsi="Times New Roman"/>
          <w:b/>
          <w:bCs/>
          <w:sz w:val="24"/>
          <w:szCs w:val="24"/>
        </w:rPr>
        <w:t>(</w:t>
      </w:r>
      <w:r w:rsidRPr="00245C11">
        <w:rPr>
          <w:rFonts w:ascii="Times New Roman" w:hAnsi="Times New Roman"/>
          <w:b/>
          <w:sz w:val="24"/>
          <w:szCs w:val="24"/>
        </w:rPr>
        <w:t>B8221-001-201</w:t>
      </w:r>
      <w:r w:rsidR="00834ADC">
        <w:rPr>
          <w:rFonts w:ascii="Times New Roman" w:hAnsi="Times New Roman"/>
          <w:b/>
          <w:sz w:val="24"/>
          <w:szCs w:val="24"/>
        </w:rPr>
        <w:t>7</w:t>
      </w:r>
      <w:r w:rsidRPr="00245C11">
        <w:rPr>
          <w:rFonts w:ascii="Times New Roman" w:hAnsi="Times New Roman"/>
          <w:b/>
          <w:sz w:val="24"/>
          <w:szCs w:val="24"/>
        </w:rPr>
        <w:t>1</w:t>
      </w:r>
      <w:r>
        <w:rPr>
          <w:rStyle w:val="tgc"/>
          <w:rFonts w:ascii="Times New Roman" w:hAnsi="Times New Roman"/>
          <w:b/>
          <w:bCs/>
          <w:sz w:val="24"/>
          <w:szCs w:val="24"/>
        </w:rPr>
        <w:t>)</w:t>
      </w:r>
    </w:p>
    <w:p w:rsidR="002C792D" w:rsidRPr="002C792D" w:rsidRDefault="002C792D" w:rsidP="002C792D">
      <w:pPr>
        <w:jc w:val="center"/>
        <w:rPr>
          <w:rStyle w:val="tgc"/>
          <w:rFonts w:ascii="Times New Roman" w:hAnsi="Times New Roman"/>
          <w:b/>
          <w:bCs/>
          <w:sz w:val="24"/>
          <w:szCs w:val="24"/>
        </w:rPr>
      </w:pPr>
    </w:p>
    <w:p w:rsidR="00A64644" w:rsidRDefault="00A64644" w:rsidP="002C792D">
      <w:pPr>
        <w:jc w:val="center"/>
        <w:rPr>
          <w:rStyle w:val="tgc"/>
          <w:rFonts w:ascii="Times New Roman" w:hAnsi="Times New Roman"/>
          <w:bCs/>
          <w:sz w:val="24"/>
          <w:szCs w:val="24"/>
        </w:rPr>
      </w:pPr>
      <w:r w:rsidRPr="00DD740C">
        <w:rPr>
          <w:rStyle w:val="tgc"/>
          <w:rFonts w:ascii="Times New Roman" w:hAnsi="Times New Roman"/>
          <w:bCs/>
          <w:sz w:val="24"/>
          <w:szCs w:val="24"/>
        </w:rPr>
        <w:t>Professor Frank Lichtenberg</w:t>
      </w:r>
    </w:p>
    <w:p w:rsidR="002C792D" w:rsidRPr="00DD740C" w:rsidRDefault="00396F2C" w:rsidP="002C792D">
      <w:pPr>
        <w:jc w:val="center"/>
        <w:rPr>
          <w:rStyle w:val="tgc"/>
          <w:rFonts w:ascii="Times New Roman" w:hAnsi="Times New Roman"/>
          <w:bCs/>
          <w:sz w:val="24"/>
          <w:szCs w:val="24"/>
        </w:rPr>
      </w:pPr>
      <w:hyperlink r:id="rId7" w:history="1">
        <w:r w:rsidR="002C792D" w:rsidRPr="00CA6949">
          <w:rPr>
            <w:rStyle w:val="Hyperlink"/>
            <w:rFonts w:ascii="Times New Roman" w:hAnsi="Times New Roman"/>
            <w:bCs/>
            <w:sz w:val="24"/>
            <w:szCs w:val="24"/>
          </w:rPr>
          <w:t>frank.lichtenberg@columbia.edu</w:t>
        </w:r>
      </w:hyperlink>
    </w:p>
    <w:p w:rsidR="00A64644" w:rsidRDefault="006C305A" w:rsidP="002C792D">
      <w:pPr>
        <w:jc w:val="center"/>
        <w:rPr>
          <w:rStyle w:val="tgc"/>
          <w:rFonts w:ascii="Times New Roman" w:hAnsi="Times New Roman"/>
          <w:bCs/>
          <w:sz w:val="24"/>
          <w:szCs w:val="24"/>
        </w:rPr>
      </w:pPr>
      <w:r>
        <w:rPr>
          <w:rStyle w:val="tgc"/>
          <w:rFonts w:ascii="Times New Roman" w:hAnsi="Times New Roman"/>
          <w:bCs/>
          <w:sz w:val="24"/>
          <w:szCs w:val="24"/>
        </w:rPr>
        <w:t>Spring 2017</w:t>
      </w:r>
    </w:p>
    <w:p w:rsidR="002C792D" w:rsidRDefault="002C792D" w:rsidP="002C792D">
      <w:pPr>
        <w:jc w:val="center"/>
        <w:rPr>
          <w:rStyle w:val="tgc"/>
          <w:rFonts w:ascii="Times New Roman" w:hAnsi="Times New Roman"/>
          <w:bCs/>
          <w:sz w:val="24"/>
          <w:szCs w:val="24"/>
        </w:rPr>
      </w:pPr>
    </w:p>
    <w:p w:rsidR="002C792D" w:rsidRPr="002C792D" w:rsidRDefault="002C792D" w:rsidP="002C792D">
      <w:pPr>
        <w:jc w:val="center"/>
        <w:rPr>
          <w:rStyle w:val="tgc"/>
          <w:rFonts w:ascii="Times New Roman" w:hAnsi="Times New Roman"/>
          <w:b/>
          <w:bCs/>
          <w:sz w:val="24"/>
          <w:szCs w:val="24"/>
        </w:rPr>
      </w:pPr>
      <w:r w:rsidRPr="002C792D">
        <w:rPr>
          <w:rStyle w:val="tgc"/>
          <w:rFonts w:ascii="Times New Roman" w:hAnsi="Times New Roman"/>
          <w:b/>
          <w:bCs/>
          <w:sz w:val="24"/>
          <w:szCs w:val="24"/>
        </w:rPr>
        <w:t>Course syllabus</w:t>
      </w:r>
    </w:p>
    <w:p w:rsidR="00A64644" w:rsidRPr="00DD740C" w:rsidRDefault="00A64644" w:rsidP="00325BE5">
      <w:pPr>
        <w:rPr>
          <w:rStyle w:val="tgc"/>
          <w:rFonts w:ascii="Times New Roman" w:hAnsi="Times New Roman"/>
          <w:bCs/>
          <w:sz w:val="24"/>
          <w:szCs w:val="24"/>
        </w:rPr>
      </w:pPr>
    </w:p>
    <w:p w:rsidR="00D87833" w:rsidRPr="00DD740C" w:rsidRDefault="00D87833" w:rsidP="00D87833">
      <w:pPr>
        <w:pStyle w:val="ListParagraph"/>
        <w:numPr>
          <w:ilvl w:val="0"/>
          <w:numId w:val="9"/>
        </w:numPr>
        <w:rPr>
          <w:rStyle w:val="tgc"/>
          <w:rFonts w:ascii="Times New Roman" w:hAnsi="Times New Roman"/>
          <w:b/>
          <w:bCs/>
          <w:sz w:val="24"/>
          <w:szCs w:val="24"/>
        </w:rPr>
      </w:pPr>
      <w:r w:rsidRPr="00DD740C">
        <w:rPr>
          <w:rStyle w:val="tgc"/>
          <w:rFonts w:ascii="Times New Roman" w:hAnsi="Times New Roman"/>
          <w:b/>
          <w:bCs/>
          <w:sz w:val="24"/>
          <w:szCs w:val="24"/>
        </w:rPr>
        <w:t>Course information</w:t>
      </w:r>
      <w:bookmarkStart w:id="0" w:name="_GoBack"/>
      <w:bookmarkEnd w:id="0"/>
    </w:p>
    <w:p w:rsidR="007C3BFA" w:rsidRDefault="007C3BFA" w:rsidP="007C3BFA">
      <w:pPr>
        <w:spacing w:before="100" w:beforeAutospacing="1" w:after="100" w:afterAutospacing="1"/>
        <w:rPr>
          <w:rFonts w:ascii="Times New Roman" w:hAnsi="Times New Roman"/>
          <w:sz w:val="24"/>
          <w:szCs w:val="24"/>
        </w:rPr>
      </w:pPr>
      <w:r>
        <w:rPr>
          <w:rFonts w:ascii="Times New Roman" w:hAnsi="Times New Roman"/>
          <w:sz w:val="24"/>
          <w:szCs w:val="24"/>
        </w:rPr>
        <w:t>The health care system involves the interaction of three main types of agents:</w:t>
      </w:r>
    </w:p>
    <w:p w:rsidR="007C3BFA" w:rsidRDefault="007C3BFA" w:rsidP="007C3BFA">
      <w:pPr>
        <w:numPr>
          <w:ilvl w:val="0"/>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Consumers/patients</w:t>
      </w:r>
      <w:r>
        <w:rPr>
          <w:rFonts w:ascii="Times New Roman" w:eastAsia="Times New Roman" w:hAnsi="Times New Roman"/>
          <w:sz w:val="20"/>
          <w:szCs w:val="20"/>
        </w:rPr>
        <w:t xml:space="preserve"> </w:t>
      </w:r>
    </w:p>
    <w:p w:rsidR="007C3BFA" w:rsidRDefault="007C3BFA" w:rsidP="007C3BFA">
      <w:pPr>
        <w:numPr>
          <w:ilvl w:val="0"/>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Health insurers/managed care organizations (public &amp; private)</w:t>
      </w:r>
      <w:r>
        <w:rPr>
          <w:rFonts w:ascii="Times New Roman" w:eastAsia="Times New Roman" w:hAnsi="Times New Roman"/>
          <w:sz w:val="20"/>
          <w:szCs w:val="20"/>
        </w:rPr>
        <w:t xml:space="preserve"> </w:t>
      </w:r>
    </w:p>
    <w:p w:rsidR="007C3BFA" w:rsidRDefault="007C3BFA" w:rsidP="007C3BFA">
      <w:pPr>
        <w:numPr>
          <w:ilvl w:val="0"/>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Providers of medical goods and services, including</w:t>
      </w:r>
      <w:r>
        <w:rPr>
          <w:rFonts w:ascii="Times New Roman" w:eastAsia="Times New Roman" w:hAnsi="Times New Roman"/>
          <w:sz w:val="20"/>
          <w:szCs w:val="20"/>
        </w:rPr>
        <w:t xml:space="preserve"> </w:t>
      </w:r>
    </w:p>
    <w:p w:rsidR="007C3BFA" w:rsidRDefault="007C3BFA" w:rsidP="007C3BFA">
      <w:pPr>
        <w:numPr>
          <w:ilvl w:val="1"/>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Physicians</w:t>
      </w:r>
      <w:r>
        <w:rPr>
          <w:rFonts w:ascii="Times New Roman" w:eastAsia="Times New Roman" w:hAnsi="Times New Roman"/>
          <w:sz w:val="20"/>
          <w:szCs w:val="20"/>
        </w:rPr>
        <w:t xml:space="preserve"> </w:t>
      </w:r>
    </w:p>
    <w:p w:rsidR="007C3BFA" w:rsidRDefault="007C3BFA" w:rsidP="007C3BFA">
      <w:pPr>
        <w:numPr>
          <w:ilvl w:val="1"/>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Pharmaceutical &amp; medical device companies</w:t>
      </w:r>
      <w:r>
        <w:rPr>
          <w:rFonts w:ascii="Times New Roman" w:eastAsia="Times New Roman" w:hAnsi="Times New Roman"/>
          <w:sz w:val="20"/>
          <w:szCs w:val="20"/>
        </w:rPr>
        <w:t xml:space="preserve"> </w:t>
      </w:r>
    </w:p>
    <w:p w:rsidR="007C3BFA" w:rsidRDefault="007C3BFA" w:rsidP="007C3BFA">
      <w:pPr>
        <w:numPr>
          <w:ilvl w:val="1"/>
          <w:numId w:val="1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Hospitals</w:t>
      </w:r>
      <w:r>
        <w:rPr>
          <w:rFonts w:ascii="Times New Roman" w:eastAsia="Times New Roman" w:hAnsi="Times New Roman"/>
          <w:sz w:val="20"/>
          <w:szCs w:val="20"/>
        </w:rPr>
        <w:t xml:space="preserve"> </w:t>
      </w:r>
    </w:p>
    <w:p w:rsidR="007C3BFA" w:rsidRDefault="007C3BFA" w:rsidP="007C3BFA">
      <w:pPr>
        <w:spacing w:before="100" w:beforeAutospacing="1" w:after="100" w:afterAutospacing="1"/>
        <w:rPr>
          <w:rFonts w:ascii="Times New Roman" w:hAnsi="Times New Roman"/>
          <w:sz w:val="24"/>
          <w:szCs w:val="24"/>
        </w:rPr>
      </w:pPr>
      <w:r>
        <w:rPr>
          <w:rFonts w:ascii="Times New Roman" w:hAnsi="Times New Roman"/>
          <w:sz w:val="24"/>
          <w:szCs w:val="24"/>
        </w:rPr>
        <w:t>We will provide a framework for understanding the economic factors underlying the health care system and the interaction of its agents.  For several reasons, standard economic models are not adequate to understand markets for health care.  For example, it is difficult for the consumer/ patient to evaluate the quality of the services received.  Costs are uncertain, and insurance reduces the incentive of the consumer/patient or physician to seek the most economical means of treatment.</w:t>
      </w:r>
    </w:p>
    <w:p w:rsidR="007C3BFA" w:rsidRDefault="007C3BFA" w:rsidP="007C3BFA">
      <w:pPr>
        <w:spacing w:before="100" w:beforeAutospacing="1" w:after="100" w:afterAutospacing="1"/>
        <w:rPr>
          <w:rFonts w:ascii="Times New Roman" w:hAnsi="Times New Roman"/>
          <w:sz w:val="24"/>
          <w:szCs w:val="24"/>
        </w:rPr>
      </w:pPr>
      <w:r>
        <w:rPr>
          <w:rFonts w:ascii="Times New Roman" w:hAnsi="Times New Roman"/>
          <w:sz w:val="24"/>
          <w:szCs w:val="24"/>
        </w:rPr>
        <w:t>We will focus primarily on the structure and economics of health insurance and the demand for health care, pricing of drugs and hospital services, cost-benefit analyses employed by payers and consumers of health care products and services, mechanisms used for paying physicians and its impact on the provision of care, and the role of information in the selection and provision of medical goods and services. </w:t>
      </w:r>
    </w:p>
    <w:p w:rsidR="00117882" w:rsidRPr="00DD740C" w:rsidRDefault="00A64644" w:rsidP="00325BE5">
      <w:pPr>
        <w:rPr>
          <w:rStyle w:val="tgc"/>
          <w:rFonts w:ascii="Times New Roman" w:hAnsi="Times New Roman"/>
          <w:bCs/>
          <w:sz w:val="24"/>
          <w:szCs w:val="24"/>
        </w:rPr>
      </w:pPr>
      <w:r w:rsidRPr="00DD740C">
        <w:rPr>
          <w:rStyle w:val="tgc"/>
          <w:rFonts w:ascii="Times New Roman" w:hAnsi="Times New Roman"/>
          <w:bCs/>
          <w:sz w:val="24"/>
          <w:szCs w:val="24"/>
        </w:rPr>
        <w:t>The m</w:t>
      </w:r>
      <w:r w:rsidR="00117882" w:rsidRPr="00DD740C">
        <w:rPr>
          <w:rStyle w:val="tgc"/>
          <w:rFonts w:ascii="Times New Roman" w:hAnsi="Times New Roman"/>
          <w:bCs/>
          <w:sz w:val="24"/>
          <w:szCs w:val="24"/>
        </w:rPr>
        <w:t>ajor topics</w:t>
      </w:r>
      <w:r w:rsidRPr="00DD740C">
        <w:rPr>
          <w:rStyle w:val="tgc"/>
          <w:rFonts w:ascii="Times New Roman" w:hAnsi="Times New Roman"/>
          <w:bCs/>
          <w:sz w:val="24"/>
          <w:szCs w:val="24"/>
        </w:rPr>
        <w:t xml:space="preserve"> covered in this course </w:t>
      </w:r>
      <w:r w:rsidR="00416603">
        <w:rPr>
          <w:rStyle w:val="tgc"/>
          <w:rFonts w:ascii="Times New Roman" w:hAnsi="Times New Roman"/>
          <w:bCs/>
          <w:sz w:val="24"/>
          <w:szCs w:val="24"/>
        </w:rPr>
        <w:t>will</w:t>
      </w:r>
      <w:r w:rsidRPr="00DD740C">
        <w:rPr>
          <w:rStyle w:val="tgc"/>
          <w:rFonts w:ascii="Times New Roman" w:hAnsi="Times New Roman"/>
          <w:bCs/>
          <w:sz w:val="24"/>
          <w:szCs w:val="24"/>
        </w:rPr>
        <w:t xml:space="preserve"> include:</w:t>
      </w:r>
    </w:p>
    <w:p w:rsidR="00117882" w:rsidRPr="00DD740C" w:rsidRDefault="00117882" w:rsidP="00340F8C">
      <w:pPr>
        <w:pStyle w:val="ListParagraph"/>
        <w:numPr>
          <w:ilvl w:val="0"/>
          <w:numId w:val="1"/>
        </w:numPr>
        <w:rPr>
          <w:rStyle w:val="tgc"/>
          <w:rFonts w:ascii="Times New Roman" w:hAnsi="Times New Roman"/>
          <w:bCs/>
          <w:sz w:val="24"/>
          <w:szCs w:val="24"/>
        </w:rPr>
      </w:pPr>
      <w:r w:rsidRPr="00DD740C">
        <w:rPr>
          <w:rStyle w:val="tgc"/>
          <w:rFonts w:ascii="Times New Roman" w:hAnsi="Times New Roman"/>
          <w:bCs/>
          <w:sz w:val="24"/>
          <w:szCs w:val="24"/>
        </w:rPr>
        <w:t>Health technology assessment</w:t>
      </w:r>
      <w:r w:rsidRPr="00DD740C">
        <w:rPr>
          <w:rStyle w:val="tgc"/>
          <w:rFonts w:ascii="Times New Roman" w:hAnsi="Times New Roman"/>
          <w:sz w:val="24"/>
          <w:szCs w:val="24"/>
        </w:rPr>
        <w:t xml:space="preserve"> and </w:t>
      </w:r>
      <w:r w:rsidR="00340F8C" w:rsidRPr="00DD740C">
        <w:rPr>
          <w:rStyle w:val="tgc"/>
          <w:rFonts w:ascii="Times New Roman" w:hAnsi="Times New Roman"/>
          <w:bCs/>
          <w:sz w:val="24"/>
          <w:szCs w:val="24"/>
        </w:rPr>
        <w:t>c</w:t>
      </w:r>
      <w:r w:rsidRPr="00DD740C">
        <w:rPr>
          <w:rStyle w:val="tgc"/>
          <w:rFonts w:ascii="Times New Roman" w:hAnsi="Times New Roman"/>
          <w:bCs/>
          <w:sz w:val="24"/>
          <w:szCs w:val="24"/>
        </w:rPr>
        <w:t>ost</w:t>
      </w:r>
      <w:r w:rsidRPr="00DD740C">
        <w:rPr>
          <w:rStyle w:val="tgc"/>
          <w:rFonts w:ascii="Times New Roman" w:hAnsi="Times New Roman"/>
          <w:sz w:val="24"/>
          <w:szCs w:val="24"/>
        </w:rPr>
        <w:t>-</w:t>
      </w:r>
      <w:r w:rsidRPr="00DD740C">
        <w:rPr>
          <w:rStyle w:val="tgc"/>
          <w:rFonts w:ascii="Times New Roman" w:hAnsi="Times New Roman"/>
          <w:bCs/>
          <w:sz w:val="24"/>
          <w:szCs w:val="24"/>
        </w:rPr>
        <w:t>effectiveness analysis</w:t>
      </w:r>
    </w:p>
    <w:p w:rsidR="00117882" w:rsidRPr="00DD740C" w:rsidRDefault="00117882" w:rsidP="00340F8C">
      <w:pPr>
        <w:pStyle w:val="ListParagraph"/>
        <w:numPr>
          <w:ilvl w:val="0"/>
          <w:numId w:val="1"/>
        </w:numPr>
        <w:rPr>
          <w:rStyle w:val="tgc"/>
          <w:rFonts w:ascii="Times New Roman" w:hAnsi="Times New Roman"/>
          <w:bCs/>
          <w:sz w:val="24"/>
          <w:szCs w:val="24"/>
        </w:rPr>
      </w:pPr>
      <w:r w:rsidRPr="00DD740C">
        <w:rPr>
          <w:rStyle w:val="tgc"/>
          <w:rFonts w:ascii="Times New Roman" w:hAnsi="Times New Roman"/>
          <w:bCs/>
          <w:sz w:val="24"/>
          <w:szCs w:val="24"/>
        </w:rPr>
        <w:t xml:space="preserve">Personalized medicine, </w:t>
      </w:r>
      <w:r w:rsidR="00340F8C" w:rsidRPr="00DD740C">
        <w:rPr>
          <w:rStyle w:val="tgc"/>
          <w:rFonts w:ascii="Times New Roman" w:hAnsi="Times New Roman"/>
          <w:bCs/>
          <w:sz w:val="24"/>
          <w:szCs w:val="24"/>
        </w:rPr>
        <w:t>p</w:t>
      </w:r>
      <w:r w:rsidRPr="00DD740C">
        <w:rPr>
          <w:rStyle w:val="tgc"/>
          <w:rFonts w:ascii="Times New Roman" w:hAnsi="Times New Roman"/>
          <w:bCs/>
          <w:sz w:val="24"/>
          <w:szCs w:val="24"/>
        </w:rPr>
        <w:t xml:space="preserve">harmacogenomics, and </w:t>
      </w:r>
      <w:r w:rsidR="00340F8C" w:rsidRPr="00DD740C">
        <w:rPr>
          <w:rStyle w:val="tgc"/>
          <w:rFonts w:ascii="Times New Roman" w:hAnsi="Times New Roman"/>
          <w:bCs/>
          <w:sz w:val="24"/>
          <w:szCs w:val="24"/>
        </w:rPr>
        <w:t>c</w:t>
      </w:r>
      <w:r w:rsidRPr="00DD740C">
        <w:rPr>
          <w:rStyle w:val="tgc"/>
          <w:rFonts w:ascii="Times New Roman" w:hAnsi="Times New Roman"/>
          <w:bCs/>
          <w:sz w:val="24"/>
          <w:szCs w:val="24"/>
        </w:rPr>
        <w:t>ompanion diagnostics</w:t>
      </w:r>
    </w:p>
    <w:p w:rsidR="00340F8C" w:rsidRPr="00DD740C" w:rsidRDefault="00340F8C" w:rsidP="00340F8C">
      <w:pPr>
        <w:pStyle w:val="ListParagraph"/>
        <w:numPr>
          <w:ilvl w:val="0"/>
          <w:numId w:val="1"/>
        </w:numPr>
        <w:rPr>
          <w:rStyle w:val="tgc"/>
          <w:rFonts w:ascii="Times New Roman" w:hAnsi="Times New Roman"/>
          <w:bCs/>
          <w:sz w:val="24"/>
          <w:szCs w:val="24"/>
        </w:rPr>
      </w:pPr>
      <w:r w:rsidRPr="00DD740C">
        <w:rPr>
          <w:rStyle w:val="tgc"/>
          <w:rFonts w:ascii="Times New Roman" w:hAnsi="Times New Roman"/>
          <w:bCs/>
          <w:sz w:val="24"/>
          <w:szCs w:val="24"/>
        </w:rPr>
        <w:t>Medication adherence</w:t>
      </w:r>
    </w:p>
    <w:p w:rsidR="00340F8C" w:rsidRPr="00DD740C" w:rsidRDefault="00340F8C" w:rsidP="00340F8C">
      <w:pPr>
        <w:pStyle w:val="ListParagraph"/>
        <w:numPr>
          <w:ilvl w:val="0"/>
          <w:numId w:val="1"/>
        </w:numPr>
        <w:rPr>
          <w:rFonts w:ascii="Times New Roman" w:eastAsia="Times New Roman" w:hAnsi="Times New Roman"/>
          <w:bCs/>
          <w:kern w:val="36"/>
          <w:sz w:val="24"/>
          <w:szCs w:val="24"/>
        </w:rPr>
      </w:pPr>
      <w:r w:rsidRPr="00DD740C">
        <w:rPr>
          <w:rFonts w:ascii="Times New Roman" w:eastAsia="Times New Roman" w:hAnsi="Times New Roman"/>
          <w:bCs/>
          <w:kern w:val="36"/>
          <w:sz w:val="24"/>
          <w:szCs w:val="24"/>
        </w:rPr>
        <w:t>Health insurance benefit design</w:t>
      </w:r>
    </w:p>
    <w:p w:rsidR="00340F8C" w:rsidRPr="00DD740C" w:rsidRDefault="00340F8C" w:rsidP="00340F8C">
      <w:pPr>
        <w:pStyle w:val="ListParagraph"/>
        <w:numPr>
          <w:ilvl w:val="0"/>
          <w:numId w:val="1"/>
        </w:numPr>
        <w:rPr>
          <w:rFonts w:ascii="Times New Roman" w:eastAsia="Times New Roman" w:hAnsi="Times New Roman"/>
          <w:bCs/>
          <w:kern w:val="36"/>
          <w:sz w:val="24"/>
          <w:szCs w:val="24"/>
        </w:rPr>
      </w:pPr>
      <w:r w:rsidRPr="00DD740C">
        <w:rPr>
          <w:rFonts w:ascii="Times New Roman" w:hAnsi="Times New Roman"/>
          <w:bCs/>
          <w:sz w:val="24"/>
          <w:szCs w:val="24"/>
        </w:rPr>
        <w:t>Pay for performance</w:t>
      </w:r>
      <w:r w:rsidRPr="00DD740C">
        <w:rPr>
          <w:rFonts w:ascii="Times New Roman" w:hAnsi="Times New Roman"/>
          <w:sz w:val="24"/>
          <w:szCs w:val="24"/>
        </w:rPr>
        <w:t xml:space="preserve"> in healthcare</w:t>
      </w:r>
    </w:p>
    <w:p w:rsidR="00340F8C" w:rsidRPr="00DD740C" w:rsidRDefault="00340F8C" w:rsidP="00340F8C">
      <w:pPr>
        <w:pStyle w:val="ListParagraph"/>
        <w:numPr>
          <w:ilvl w:val="0"/>
          <w:numId w:val="1"/>
        </w:numPr>
        <w:rPr>
          <w:rFonts w:ascii="Times New Roman" w:eastAsia="Times New Roman" w:hAnsi="Times New Roman"/>
          <w:bCs/>
          <w:kern w:val="36"/>
          <w:sz w:val="24"/>
          <w:szCs w:val="24"/>
        </w:rPr>
      </w:pPr>
      <w:r w:rsidRPr="00DD740C">
        <w:rPr>
          <w:rFonts w:ascii="Times New Roman" w:hAnsi="Times New Roman"/>
          <w:bCs/>
          <w:sz w:val="24"/>
          <w:szCs w:val="24"/>
        </w:rPr>
        <w:t>Drug pricing and reimbursement</w:t>
      </w:r>
    </w:p>
    <w:p w:rsidR="00340F8C" w:rsidRPr="00DD740C" w:rsidRDefault="00340F8C" w:rsidP="00340F8C">
      <w:pPr>
        <w:pStyle w:val="ListParagraph"/>
        <w:numPr>
          <w:ilvl w:val="0"/>
          <w:numId w:val="1"/>
        </w:numPr>
        <w:rPr>
          <w:rFonts w:ascii="Times New Roman" w:eastAsia="Times New Roman" w:hAnsi="Times New Roman"/>
          <w:bCs/>
          <w:kern w:val="36"/>
          <w:sz w:val="24"/>
          <w:szCs w:val="24"/>
        </w:rPr>
      </w:pPr>
      <w:r w:rsidRPr="00DD740C">
        <w:rPr>
          <w:rFonts w:ascii="Times New Roman" w:hAnsi="Times New Roman"/>
          <w:bCs/>
          <w:sz w:val="24"/>
          <w:szCs w:val="24"/>
        </w:rPr>
        <w:t>Patents and intellectual property</w:t>
      </w:r>
    </w:p>
    <w:p w:rsidR="00F428E4" w:rsidRPr="00DD740C" w:rsidRDefault="00F428E4" w:rsidP="00340F8C">
      <w:pPr>
        <w:pStyle w:val="ListParagraph"/>
        <w:numPr>
          <w:ilvl w:val="0"/>
          <w:numId w:val="1"/>
        </w:numPr>
        <w:rPr>
          <w:rFonts w:ascii="Times New Roman" w:eastAsia="Times New Roman" w:hAnsi="Times New Roman"/>
          <w:bCs/>
          <w:kern w:val="36"/>
          <w:sz w:val="24"/>
          <w:szCs w:val="24"/>
        </w:rPr>
      </w:pPr>
      <w:r w:rsidRPr="00DD740C">
        <w:rPr>
          <w:rFonts w:ascii="Times New Roman" w:hAnsi="Times New Roman"/>
          <w:bCs/>
          <w:sz w:val="24"/>
          <w:szCs w:val="24"/>
        </w:rPr>
        <w:t>Role of information in health care</w:t>
      </w:r>
    </w:p>
    <w:p w:rsidR="00340F8C" w:rsidRPr="00DD740C" w:rsidRDefault="00340F8C" w:rsidP="00325BE5">
      <w:pPr>
        <w:rPr>
          <w:rStyle w:val="tgc"/>
          <w:rFonts w:ascii="Times New Roman" w:hAnsi="Times New Roman"/>
          <w:b/>
          <w:bCs/>
          <w:sz w:val="24"/>
          <w:szCs w:val="24"/>
        </w:rPr>
      </w:pPr>
    </w:p>
    <w:p w:rsidR="00A64644" w:rsidRDefault="00A64644" w:rsidP="00325BE5">
      <w:pPr>
        <w:rPr>
          <w:rStyle w:val="tgc"/>
          <w:rFonts w:ascii="Times New Roman" w:hAnsi="Times New Roman"/>
          <w:bCs/>
          <w:sz w:val="24"/>
          <w:szCs w:val="24"/>
        </w:rPr>
      </w:pPr>
      <w:r w:rsidRPr="00DD740C">
        <w:rPr>
          <w:rStyle w:val="tgc"/>
          <w:rFonts w:ascii="Times New Roman" w:hAnsi="Times New Roman"/>
          <w:bCs/>
          <w:sz w:val="24"/>
          <w:szCs w:val="24"/>
        </w:rPr>
        <w:t>Brief descriptions of most of these topics, and selected cases and other materials rel</w:t>
      </w:r>
      <w:r w:rsidR="00DD740C" w:rsidRPr="00DD740C">
        <w:rPr>
          <w:rStyle w:val="tgc"/>
          <w:rFonts w:ascii="Times New Roman" w:hAnsi="Times New Roman"/>
          <w:bCs/>
          <w:sz w:val="24"/>
          <w:szCs w:val="24"/>
        </w:rPr>
        <w:t>ated to them, are provided in Section II</w:t>
      </w:r>
      <w:r w:rsidRPr="00DD740C">
        <w:rPr>
          <w:rStyle w:val="tgc"/>
          <w:rFonts w:ascii="Times New Roman" w:hAnsi="Times New Roman"/>
          <w:bCs/>
          <w:sz w:val="24"/>
          <w:szCs w:val="24"/>
        </w:rPr>
        <w:t>.</w:t>
      </w:r>
      <w:r w:rsidR="00DD740C" w:rsidRPr="00DD740C">
        <w:rPr>
          <w:rStyle w:val="tgc"/>
          <w:rFonts w:ascii="Times New Roman" w:hAnsi="Times New Roman"/>
          <w:bCs/>
          <w:sz w:val="24"/>
          <w:szCs w:val="24"/>
        </w:rPr>
        <w:t xml:space="preserve">  More detailed descriptions of some of the cases and other materials are provided in Section III.</w:t>
      </w:r>
    </w:p>
    <w:p w:rsidR="007C3BFA" w:rsidRDefault="007C3BFA" w:rsidP="00325BE5">
      <w:pPr>
        <w:rPr>
          <w:rStyle w:val="tgc"/>
          <w:rFonts w:ascii="Times New Roman" w:hAnsi="Times New Roman"/>
          <w:bCs/>
          <w:sz w:val="24"/>
          <w:szCs w:val="24"/>
        </w:rPr>
      </w:pPr>
    </w:p>
    <w:p w:rsidR="004924DB" w:rsidRPr="00B30560" w:rsidRDefault="004924DB" w:rsidP="004924DB">
      <w:pPr>
        <w:rPr>
          <w:rStyle w:val="tgc"/>
          <w:rFonts w:ascii="Times New Roman" w:hAnsi="Times New Roman"/>
          <w:sz w:val="24"/>
          <w:szCs w:val="24"/>
        </w:rPr>
      </w:pPr>
      <w:r w:rsidRPr="00AB39ED">
        <w:rPr>
          <w:rFonts w:ascii="Times New Roman" w:hAnsi="Times New Roman"/>
          <w:i/>
          <w:sz w:val="24"/>
          <w:szCs w:val="24"/>
        </w:rPr>
        <w:t xml:space="preserve">Assignment and Coursework Structure.  </w:t>
      </w:r>
      <w:r>
        <w:rPr>
          <w:rFonts w:ascii="Times New Roman" w:hAnsi="Times New Roman"/>
          <w:sz w:val="24"/>
          <w:szCs w:val="24"/>
        </w:rPr>
        <w:t>The course will be taught using a combination of case discussions and lectures, including a few guest lectures.  Students will be evaluated on the basis of class participation</w:t>
      </w:r>
      <w:r w:rsidR="00E14C27">
        <w:rPr>
          <w:rFonts w:ascii="Times New Roman" w:hAnsi="Times New Roman"/>
          <w:sz w:val="24"/>
          <w:szCs w:val="24"/>
        </w:rPr>
        <w:t xml:space="preserve"> (20%)</w:t>
      </w:r>
      <w:r>
        <w:rPr>
          <w:rFonts w:ascii="Times New Roman" w:hAnsi="Times New Roman"/>
          <w:sz w:val="24"/>
          <w:szCs w:val="24"/>
        </w:rPr>
        <w:t>, several homework assignments</w:t>
      </w:r>
      <w:r w:rsidR="00E14C27">
        <w:rPr>
          <w:rFonts w:ascii="Times New Roman" w:hAnsi="Times New Roman"/>
          <w:sz w:val="24"/>
          <w:szCs w:val="24"/>
        </w:rPr>
        <w:t xml:space="preserve"> (20%)</w:t>
      </w:r>
      <w:r>
        <w:rPr>
          <w:rFonts w:ascii="Times New Roman" w:hAnsi="Times New Roman"/>
          <w:sz w:val="24"/>
          <w:szCs w:val="24"/>
        </w:rPr>
        <w:t>, and a final exam</w:t>
      </w:r>
      <w:r w:rsidR="00E14C27">
        <w:rPr>
          <w:rFonts w:ascii="Times New Roman" w:hAnsi="Times New Roman"/>
          <w:sz w:val="24"/>
          <w:szCs w:val="24"/>
        </w:rPr>
        <w:t xml:space="preserve"> (60%)</w:t>
      </w:r>
      <w:r>
        <w:rPr>
          <w:rFonts w:ascii="Times New Roman" w:hAnsi="Times New Roman"/>
          <w:sz w:val="24"/>
          <w:szCs w:val="24"/>
        </w:rPr>
        <w:t>.</w:t>
      </w:r>
    </w:p>
    <w:p w:rsidR="004924DB" w:rsidRDefault="004924DB" w:rsidP="007C3BFA">
      <w:pPr>
        <w:rPr>
          <w:rFonts w:ascii="Times New Roman" w:hAnsi="Times New Roman"/>
          <w:i/>
          <w:sz w:val="24"/>
          <w:szCs w:val="24"/>
        </w:rPr>
      </w:pPr>
    </w:p>
    <w:p w:rsidR="007C3BFA" w:rsidRPr="007C3BFA" w:rsidRDefault="00E328E8" w:rsidP="007C3BFA">
      <w:pPr>
        <w:rPr>
          <w:rFonts w:ascii="Times New Roman" w:hAnsi="Times New Roman"/>
          <w:sz w:val="24"/>
          <w:szCs w:val="24"/>
        </w:rPr>
      </w:pPr>
      <w:r w:rsidRPr="00AB39ED">
        <w:rPr>
          <w:rFonts w:ascii="Times New Roman" w:hAnsi="Times New Roman"/>
          <w:i/>
          <w:sz w:val="24"/>
          <w:szCs w:val="24"/>
        </w:rPr>
        <w:t>Connection with the core</w:t>
      </w:r>
      <w:r w:rsidR="007C3BFA" w:rsidRPr="00AB39ED">
        <w:rPr>
          <w:rFonts w:ascii="Times New Roman" w:hAnsi="Times New Roman"/>
          <w:i/>
          <w:sz w:val="24"/>
          <w:szCs w:val="24"/>
        </w:rPr>
        <w:t>.</w:t>
      </w:r>
      <w:r w:rsidR="007C3BFA" w:rsidRPr="007C3BFA">
        <w:rPr>
          <w:rFonts w:ascii="Times New Roman" w:hAnsi="Times New Roman"/>
          <w:b/>
          <w:sz w:val="24"/>
          <w:szCs w:val="24"/>
        </w:rPr>
        <w:t xml:space="preserve">  </w:t>
      </w:r>
      <w:r w:rsidR="007C3BFA" w:rsidRPr="007C3BFA">
        <w:rPr>
          <w:rFonts w:ascii="Times New Roman" w:hAnsi="Times New Roman"/>
          <w:sz w:val="24"/>
          <w:szCs w:val="24"/>
        </w:rPr>
        <w:t>The learning in this course will utilize, build on</w:t>
      </w:r>
      <w:r>
        <w:rPr>
          <w:rFonts w:ascii="Times New Roman" w:hAnsi="Times New Roman"/>
          <w:sz w:val="24"/>
          <w:szCs w:val="24"/>
        </w:rPr>
        <w:t>,</w:t>
      </w:r>
      <w:r w:rsidR="007C3BFA" w:rsidRPr="007C3BFA">
        <w:rPr>
          <w:rFonts w:ascii="Times New Roman" w:hAnsi="Times New Roman"/>
          <w:sz w:val="24"/>
          <w:szCs w:val="24"/>
        </w:rPr>
        <w:t xml:space="preserve"> and extend concepts covered in the following core courses:</w:t>
      </w:r>
    </w:p>
    <w:p w:rsidR="007C3BFA" w:rsidRPr="007C3BFA" w:rsidRDefault="007C3BFA" w:rsidP="007C3BFA">
      <w:pPr>
        <w:rPr>
          <w:rFonts w:ascii="Times New Roman" w:hAnsi="Times New Roman"/>
          <w:sz w:val="24"/>
          <w:szCs w:val="24"/>
        </w:rPr>
      </w:pPr>
    </w:p>
    <w:tbl>
      <w:tblPr>
        <w:tblStyle w:val="TableGrid"/>
        <w:tblW w:w="0" w:type="auto"/>
        <w:tblLook w:val="04A0" w:firstRow="1" w:lastRow="0" w:firstColumn="1" w:lastColumn="0" w:noHBand="0" w:noVBand="1"/>
      </w:tblPr>
      <w:tblGrid>
        <w:gridCol w:w="3034"/>
        <w:gridCol w:w="6316"/>
      </w:tblGrid>
      <w:tr w:rsidR="007C3BFA" w:rsidRPr="007C3BFA" w:rsidTr="004924DB">
        <w:tc>
          <w:tcPr>
            <w:tcW w:w="3034" w:type="dxa"/>
            <w:tcBorders>
              <w:top w:val="single" w:sz="4" w:space="0" w:color="auto"/>
              <w:left w:val="single" w:sz="4" w:space="0" w:color="auto"/>
              <w:bottom w:val="single" w:sz="4" w:space="0" w:color="auto"/>
              <w:right w:val="single" w:sz="4" w:space="0" w:color="auto"/>
            </w:tcBorders>
            <w:hideMark/>
          </w:tcPr>
          <w:p w:rsidR="007C3BFA" w:rsidRPr="007C3BFA" w:rsidRDefault="007C3BFA" w:rsidP="00CC028E">
            <w:pPr>
              <w:autoSpaceDE w:val="0"/>
              <w:autoSpaceDN w:val="0"/>
              <w:adjustRightInd w:val="0"/>
              <w:rPr>
                <w:rFonts w:ascii="Times New Roman" w:hAnsi="Times New Roman"/>
                <w:b/>
                <w:bCs/>
                <w:i/>
                <w:iCs/>
                <w:sz w:val="24"/>
                <w:szCs w:val="24"/>
              </w:rPr>
            </w:pPr>
            <w:r w:rsidRPr="007C3BFA">
              <w:rPr>
                <w:rFonts w:ascii="Times New Roman" w:hAnsi="Times New Roman"/>
                <w:b/>
                <w:bCs/>
                <w:i/>
                <w:iCs/>
                <w:sz w:val="24"/>
                <w:szCs w:val="24"/>
              </w:rPr>
              <w:t>MANAGERIAL ECONOMICS</w:t>
            </w:r>
          </w:p>
        </w:tc>
        <w:tc>
          <w:tcPr>
            <w:tcW w:w="6316" w:type="dxa"/>
            <w:tcBorders>
              <w:top w:val="single" w:sz="4" w:space="0" w:color="auto"/>
              <w:left w:val="single" w:sz="4" w:space="0" w:color="auto"/>
              <w:bottom w:val="single" w:sz="4" w:space="0" w:color="auto"/>
              <w:right w:val="single" w:sz="4" w:space="0" w:color="auto"/>
            </w:tcBorders>
            <w:hideMark/>
          </w:tcPr>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Maximization and thinking on the margin</w:t>
            </w:r>
          </w:p>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Analyzing complex decision</w:t>
            </w:r>
            <w:r w:rsidRPr="007C3BFA">
              <w:rPr>
                <w:rFonts w:ascii="Cambria Math" w:hAnsi="Cambria Math" w:cs="Cambria Math"/>
                <w:sz w:val="24"/>
                <w:szCs w:val="24"/>
              </w:rPr>
              <w:t>‐</w:t>
            </w:r>
            <w:r w:rsidRPr="007C3BFA">
              <w:rPr>
                <w:rFonts w:ascii="Times New Roman" w:hAnsi="Times New Roman"/>
                <w:sz w:val="24"/>
                <w:szCs w:val="24"/>
              </w:rPr>
              <w:t>making under uncertainty</w:t>
            </w:r>
          </w:p>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Pricing with market power</w:t>
            </w:r>
          </w:p>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Market segmentation and other advanced pricing strategies</w:t>
            </w:r>
          </w:p>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Understanding market competition and equilibrium thinking (in the short run)</w:t>
            </w:r>
          </w:p>
          <w:p w:rsidR="007C3BFA" w:rsidRPr="007C3BFA" w:rsidRDefault="007C3BFA" w:rsidP="007C3BFA">
            <w:pPr>
              <w:pStyle w:val="ListParagraph"/>
              <w:numPr>
                <w:ilvl w:val="0"/>
                <w:numId w:val="13"/>
              </w:numPr>
              <w:autoSpaceDE w:val="0"/>
              <w:autoSpaceDN w:val="0"/>
              <w:adjustRightInd w:val="0"/>
              <w:rPr>
                <w:rFonts w:ascii="Times New Roman" w:hAnsi="Times New Roman"/>
                <w:sz w:val="24"/>
                <w:szCs w:val="24"/>
              </w:rPr>
            </w:pPr>
            <w:r w:rsidRPr="007C3BFA">
              <w:rPr>
                <w:rFonts w:ascii="Times New Roman" w:hAnsi="Times New Roman"/>
                <w:sz w:val="24"/>
                <w:szCs w:val="24"/>
              </w:rPr>
              <w:t>Market equilibrium thinking (in the long</w:t>
            </w:r>
            <w:r w:rsidRPr="007C3BFA">
              <w:rPr>
                <w:rFonts w:ascii="Cambria Math" w:hAnsi="Cambria Math" w:cs="Cambria Math"/>
                <w:sz w:val="24"/>
                <w:szCs w:val="24"/>
              </w:rPr>
              <w:t>‐</w:t>
            </w:r>
            <w:r w:rsidRPr="007C3BFA">
              <w:rPr>
                <w:rFonts w:ascii="Times New Roman" w:hAnsi="Times New Roman"/>
                <w:sz w:val="24"/>
                <w:szCs w:val="24"/>
              </w:rPr>
              <w:t>run) and barriers to entry</w:t>
            </w:r>
          </w:p>
          <w:p w:rsidR="007C3BFA" w:rsidRPr="007C3BFA" w:rsidRDefault="007C3BFA" w:rsidP="007C3BFA">
            <w:pPr>
              <w:pStyle w:val="ListParagraph"/>
              <w:numPr>
                <w:ilvl w:val="0"/>
                <w:numId w:val="13"/>
              </w:numPr>
              <w:autoSpaceDE w:val="0"/>
              <w:autoSpaceDN w:val="0"/>
              <w:adjustRightInd w:val="0"/>
              <w:rPr>
                <w:rFonts w:ascii="Times New Roman" w:hAnsi="Times New Roman"/>
                <w:bCs/>
                <w:iCs/>
                <w:sz w:val="24"/>
                <w:szCs w:val="24"/>
              </w:rPr>
            </w:pPr>
            <w:r w:rsidRPr="007C3BFA">
              <w:rPr>
                <w:rFonts w:ascii="Times New Roman" w:hAnsi="Times New Roman"/>
                <w:sz w:val="24"/>
                <w:szCs w:val="24"/>
              </w:rPr>
              <w:t xml:space="preserve">Strategic interaction among firms </w:t>
            </w:r>
          </w:p>
        </w:tc>
      </w:tr>
      <w:tr w:rsidR="007C3BFA" w:rsidRPr="007C3BFA" w:rsidTr="004924DB">
        <w:tc>
          <w:tcPr>
            <w:tcW w:w="3034" w:type="dxa"/>
            <w:tcBorders>
              <w:top w:val="single" w:sz="4" w:space="0" w:color="auto"/>
              <w:left w:val="single" w:sz="4" w:space="0" w:color="auto"/>
              <w:bottom w:val="single" w:sz="4" w:space="0" w:color="auto"/>
              <w:right w:val="single" w:sz="4" w:space="0" w:color="auto"/>
            </w:tcBorders>
            <w:hideMark/>
          </w:tcPr>
          <w:p w:rsidR="007C3BFA" w:rsidRPr="007C3BFA" w:rsidRDefault="007C3BFA" w:rsidP="00CC028E">
            <w:pPr>
              <w:autoSpaceDE w:val="0"/>
              <w:autoSpaceDN w:val="0"/>
              <w:adjustRightInd w:val="0"/>
              <w:rPr>
                <w:rFonts w:ascii="Times New Roman" w:hAnsi="Times New Roman"/>
                <w:b/>
                <w:bCs/>
                <w:i/>
                <w:iCs/>
                <w:sz w:val="24"/>
                <w:szCs w:val="24"/>
              </w:rPr>
            </w:pPr>
            <w:r w:rsidRPr="007C3BFA">
              <w:rPr>
                <w:rFonts w:ascii="Times New Roman" w:hAnsi="Times New Roman"/>
                <w:b/>
                <w:bCs/>
                <w:i/>
                <w:iCs/>
                <w:sz w:val="24"/>
                <w:szCs w:val="24"/>
              </w:rPr>
              <w:t>CORPORATE FINANCE</w:t>
            </w:r>
          </w:p>
        </w:tc>
        <w:tc>
          <w:tcPr>
            <w:tcW w:w="6316" w:type="dxa"/>
            <w:tcBorders>
              <w:top w:val="single" w:sz="4" w:space="0" w:color="auto"/>
              <w:left w:val="single" w:sz="4" w:space="0" w:color="auto"/>
              <w:bottom w:val="single" w:sz="4" w:space="0" w:color="auto"/>
              <w:right w:val="single" w:sz="4" w:space="0" w:color="auto"/>
            </w:tcBorders>
            <w:hideMark/>
          </w:tcPr>
          <w:p w:rsidR="007C3BFA" w:rsidRPr="007C3BFA" w:rsidRDefault="007C3BFA" w:rsidP="007C3BFA">
            <w:pPr>
              <w:pStyle w:val="ListParagraph"/>
              <w:numPr>
                <w:ilvl w:val="0"/>
                <w:numId w:val="14"/>
              </w:numPr>
              <w:autoSpaceDE w:val="0"/>
              <w:autoSpaceDN w:val="0"/>
              <w:adjustRightInd w:val="0"/>
              <w:rPr>
                <w:rFonts w:ascii="Times New Roman" w:hAnsi="Times New Roman"/>
                <w:sz w:val="24"/>
                <w:szCs w:val="24"/>
              </w:rPr>
            </w:pPr>
            <w:r w:rsidRPr="007C3BFA">
              <w:rPr>
                <w:rFonts w:ascii="Times New Roman" w:hAnsi="Times New Roman"/>
                <w:sz w:val="24"/>
                <w:szCs w:val="24"/>
              </w:rPr>
              <w:t>Risk (health insurance)</w:t>
            </w:r>
          </w:p>
          <w:p w:rsidR="007C3BFA" w:rsidRPr="007C3BFA" w:rsidRDefault="007C3BFA" w:rsidP="007C3BFA">
            <w:pPr>
              <w:pStyle w:val="ListParagraph"/>
              <w:numPr>
                <w:ilvl w:val="0"/>
                <w:numId w:val="14"/>
              </w:numPr>
              <w:rPr>
                <w:rFonts w:ascii="Times New Roman" w:hAnsi="Times New Roman"/>
                <w:sz w:val="24"/>
                <w:szCs w:val="24"/>
              </w:rPr>
            </w:pPr>
            <w:r w:rsidRPr="007C3BFA">
              <w:rPr>
                <w:rFonts w:ascii="Times New Roman" w:hAnsi="Times New Roman"/>
                <w:sz w:val="24"/>
                <w:szCs w:val="24"/>
              </w:rPr>
              <w:t>Incremental cost/benefit (of medical expenditure)</w:t>
            </w:r>
          </w:p>
        </w:tc>
      </w:tr>
      <w:tr w:rsidR="007C3BFA" w:rsidRPr="007C3BFA" w:rsidTr="004924DB">
        <w:tc>
          <w:tcPr>
            <w:tcW w:w="3034" w:type="dxa"/>
            <w:tcBorders>
              <w:top w:val="single" w:sz="4" w:space="0" w:color="auto"/>
              <w:left w:val="single" w:sz="4" w:space="0" w:color="auto"/>
              <w:bottom w:val="single" w:sz="4" w:space="0" w:color="auto"/>
              <w:right w:val="single" w:sz="4" w:space="0" w:color="auto"/>
            </w:tcBorders>
            <w:hideMark/>
          </w:tcPr>
          <w:p w:rsidR="007C3BFA" w:rsidRPr="007C3BFA" w:rsidRDefault="007C3BFA" w:rsidP="00CC028E">
            <w:pPr>
              <w:autoSpaceDE w:val="0"/>
              <w:autoSpaceDN w:val="0"/>
              <w:adjustRightInd w:val="0"/>
              <w:rPr>
                <w:rFonts w:ascii="Times New Roman" w:hAnsi="Times New Roman"/>
                <w:b/>
                <w:bCs/>
                <w:i/>
                <w:iCs/>
                <w:sz w:val="24"/>
                <w:szCs w:val="24"/>
              </w:rPr>
            </w:pPr>
            <w:r w:rsidRPr="007C3BFA">
              <w:rPr>
                <w:rFonts w:ascii="Times New Roman" w:hAnsi="Times New Roman"/>
                <w:b/>
                <w:bCs/>
                <w:i/>
                <w:iCs/>
                <w:sz w:val="24"/>
                <w:szCs w:val="24"/>
              </w:rPr>
              <w:t>GLOBAL ECONOMIC ENVIRONMENT I</w:t>
            </w:r>
          </w:p>
        </w:tc>
        <w:tc>
          <w:tcPr>
            <w:tcW w:w="6316" w:type="dxa"/>
            <w:tcBorders>
              <w:top w:val="single" w:sz="4" w:space="0" w:color="auto"/>
              <w:left w:val="single" w:sz="4" w:space="0" w:color="auto"/>
              <w:bottom w:val="single" w:sz="4" w:space="0" w:color="auto"/>
              <w:right w:val="single" w:sz="4" w:space="0" w:color="auto"/>
            </w:tcBorders>
          </w:tcPr>
          <w:p w:rsidR="007C3BFA" w:rsidRPr="007C3BFA" w:rsidRDefault="007C3BFA" w:rsidP="007C3BFA">
            <w:pPr>
              <w:pStyle w:val="ListParagraph"/>
              <w:numPr>
                <w:ilvl w:val="0"/>
                <w:numId w:val="15"/>
              </w:numPr>
              <w:autoSpaceDE w:val="0"/>
              <w:autoSpaceDN w:val="0"/>
              <w:adjustRightInd w:val="0"/>
              <w:rPr>
                <w:rFonts w:ascii="Times New Roman" w:hAnsi="Times New Roman"/>
                <w:bCs/>
                <w:iCs/>
                <w:sz w:val="24"/>
                <w:szCs w:val="24"/>
              </w:rPr>
            </w:pPr>
            <w:r w:rsidRPr="007C3BFA">
              <w:rPr>
                <w:rFonts w:ascii="Times New Roman" w:hAnsi="Times New Roman"/>
                <w:bCs/>
                <w:iCs/>
                <w:sz w:val="24"/>
                <w:szCs w:val="24"/>
              </w:rPr>
              <w:t>GDP (as an incomplete measure of economic prosperity)</w:t>
            </w:r>
          </w:p>
          <w:p w:rsidR="007C3BFA" w:rsidRPr="007C3BFA" w:rsidRDefault="007C3BFA" w:rsidP="00CC028E">
            <w:pPr>
              <w:autoSpaceDE w:val="0"/>
              <w:autoSpaceDN w:val="0"/>
              <w:adjustRightInd w:val="0"/>
              <w:rPr>
                <w:rFonts w:ascii="Times New Roman" w:hAnsi="Times New Roman"/>
                <w:sz w:val="24"/>
                <w:szCs w:val="24"/>
              </w:rPr>
            </w:pPr>
          </w:p>
        </w:tc>
      </w:tr>
    </w:tbl>
    <w:p w:rsidR="007C3BFA" w:rsidRPr="007C3BFA" w:rsidRDefault="007C3BFA" w:rsidP="007C3BFA">
      <w:pPr>
        <w:rPr>
          <w:rFonts w:ascii="Times New Roman" w:eastAsia="Times New Roman" w:hAnsi="Times New Roman"/>
          <w:sz w:val="24"/>
          <w:szCs w:val="24"/>
        </w:rPr>
      </w:pPr>
    </w:p>
    <w:p w:rsidR="00E328E8" w:rsidRPr="00E328E8" w:rsidRDefault="00E328E8" w:rsidP="00E328E8">
      <w:pPr>
        <w:rPr>
          <w:rFonts w:ascii="Times New Roman" w:hAnsi="Times New Roman"/>
          <w:sz w:val="24"/>
          <w:szCs w:val="24"/>
        </w:rPr>
      </w:pPr>
      <w:r w:rsidRPr="00AB39ED">
        <w:rPr>
          <w:rFonts w:ascii="Times New Roman" w:hAnsi="Times New Roman"/>
          <w:i/>
          <w:sz w:val="24"/>
          <w:szCs w:val="24"/>
        </w:rPr>
        <w:t>Student focus:</w:t>
      </w:r>
      <w:r w:rsidRPr="00E328E8">
        <w:rPr>
          <w:rFonts w:ascii="Times New Roman" w:hAnsi="Times New Roman"/>
          <w:sz w:val="24"/>
          <w:szCs w:val="24"/>
        </w:rPr>
        <w:t xml:space="preserve"> Students who plan to work in any of the following segments of the health care field should find this course to be valuable:</w:t>
      </w:r>
    </w:p>
    <w:p w:rsidR="00E328E8" w:rsidRPr="00E328E8" w:rsidRDefault="00E328E8" w:rsidP="00E328E8">
      <w:pPr>
        <w:pStyle w:val="ListParagraph"/>
        <w:numPr>
          <w:ilvl w:val="0"/>
          <w:numId w:val="15"/>
        </w:numPr>
        <w:rPr>
          <w:rFonts w:ascii="Times New Roman" w:hAnsi="Times New Roman"/>
          <w:sz w:val="24"/>
          <w:szCs w:val="24"/>
        </w:rPr>
      </w:pPr>
      <w:r w:rsidRPr="00E328E8">
        <w:rPr>
          <w:rFonts w:ascii="Times New Roman" w:hAnsi="Times New Roman"/>
          <w:sz w:val="24"/>
          <w:szCs w:val="24"/>
        </w:rPr>
        <w:t>pharmaceutical, biotechnology, and medical device companies</w:t>
      </w:r>
    </w:p>
    <w:p w:rsidR="00E328E8" w:rsidRPr="00E328E8" w:rsidRDefault="00E328E8" w:rsidP="00E328E8">
      <w:pPr>
        <w:pStyle w:val="ListParagraph"/>
        <w:numPr>
          <w:ilvl w:val="0"/>
          <w:numId w:val="15"/>
        </w:numPr>
        <w:rPr>
          <w:rFonts w:ascii="Times New Roman" w:hAnsi="Times New Roman"/>
          <w:sz w:val="24"/>
          <w:szCs w:val="24"/>
        </w:rPr>
      </w:pPr>
      <w:r w:rsidRPr="00E328E8">
        <w:rPr>
          <w:rFonts w:ascii="Times New Roman" w:hAnsi="Times New Roman"/>
          <w:sz w:val="24"/>
          <w:szCs w:val="24"/>
        </w:rPr>
        <w:t>health insurance companies and managed care organizations</w:t>
      </w:r>
    </w:p>
    <w:p w:rsidR="00E328E8" w:rsidRPr="00E328E8" w:rsidRDefault="00E328E8" w:rsidP="00E328E8">
      <w:pPr>
        <w:pStyle w:val="ListParagraph"/>
        <w:numPr>
          <w:ilvl w:val="0"/>
          <w:numId w:val="15"/>
        </w:numPr>
        <w:rPr>
          <w:rFonts w:ascii="Times New Roman" w:hAnsi="Times New Roman"/>
          <w:sz w:val="24"/>
          <w:szCs w:val="24"/>
        </w:rPr>
      </w:pPr>
      <w:r w:rsidRPr="00E328E8">
        <w:rPr>
          <w:rFonts w:ascii="Times New Roman" w:hAnsi="Times New Roman"/>
          <w:sz w:val="24"/>
          <w:szCs w:val="24"/>
        </w:rPr>
        <w:t>hospitals and physician practices</w:t>
      </w:r>
    </w:p>
    <w:p w:rsidR="00E328E8" w:rsidRPr="00E328E8" w:rsidRDefault="00E328E8" w:rsidP="00E328E8">
      <w:pPr>
        <w:pStyle w:val="ListParagraph"/>
        <w:numPr>
          <w:ilvl w:val="0"/>
          <w:numId w:val="15"/>
        </w:numPr>
        <w:rPr>
          <w:rFonts w:ascii="Times New Roman" w:hAnsi="Times New Roman"/>
          <w:sz w:val="24"/>
          <w:szCs w:val="24"/>
        </w:rPr>
      </w:pPr>
      <w:r w:rsidRPr="00E328E8">
        <w:rPr>
          <w:rFonts w:ascii="Times New Roman" w:hAnsi="Times New Roman"/>
          <w:sz w:val="24"/>
          <w:szCs w:val="24"/>
        </w:rPr>
        <w:t>financial services focused on health care</w:t>
      </w:r>
    </w:p>
    <w:p w:rsidR="00E328E8" w:rsidRDefault="00E328E8" w:rsidP="00E328E8">
      <w:pPr>
        <w:pStyle w:val="ListParagraph"/>
        <w:numPr>
          <w:ilvl w:val="0"/>
          <w:numId w:val="15"/>
        </w:numPr>
        <w:rPr>
          <w:rFonts w:ascii="Times New Roman" w:hAnsi="Times New Roman"/>
          <w:sz w:val="24"/>
          <w:szCs w:val="24"/>
        </w:rPr>
      </w:pPr>
      <w:r w:rsidRPr="00E328E8">
        <w:rPr>
          <w:rFonts w:ascii="Times New Roman" w:hAnsi="Times New Roman"/>
          <w:sz w:val="24"/>
          <w:szCs w:val="24"/>
        </w:rPr>
        <w:t>public and not-for-profit organizations focused on health care</w:t>
      </w:r>
    </w:p>
    <w:p w:rsidR="004924DB" w:rsidRDefault="004924DB" w:rsidP="004924DB">
      <w:pPr>
        <w:rPr>
          <w:rFonts w:ascii="Times New Roman" w:hAnsi="Times New Roman"/>
          <w:sz w:val="24"/>
          <w:szCs w:val="24"/>
        </w:rPr>
      </w:pPr>
    </w:p>
    <w:p w:rsidR="004924DB" w:rsidRPr="004924DB" w:rsidRDefault="004924DB" w:rsidP="004924DB">
      <w:pPr>
        <w:rPr>
          <w:rFonts w:ascii="Times New Roman" w:hAnsi="Times New Roman"/>
          <w:sz w:val="24"/>
          <w:szCs w:val="24"/>
        </w:rPr>
      </w:pPr>
      <w:r w:rsidRPr="004924DB">
        <w:rPr>
          <w:rFonts w:ascii="Times New Roman" w:hAnsi="Times New Roman"/>
          <w:i/>
          <w:sz w:val="24"/>
          <w:szCs w:val="24"/>
        </w:rPr>
        <w:t>Core culture.</w:t>
      </w:r>
      <w:r w:rsidRPr="004924DB">
        <w:rPr>
          <w:rFonts w:ascii="Times New Roman" w:hAnsi="Times New Roman"/>
          <w:sz w:val="24"/>
          <w:szCs w:val="24"/>
        </w:rPr>
        <w:t xml:space="preserve">  </w:t>
      </w:r>
      <w:r w:rsidRPr="004924DB">
        <w:rPr>
          <w:rFonts w:ascii="Times New Roman" w:hAnsi="Times New Roman"/>
          <w:bCs/>
          <w:sz w:val="24"/>
          <w:szCs w:val="24"/>
        </w:rPr>
        <w:t>This course adheres to Columbia Core Culture.  Students are expected to be:</w:t>
      </w:r>
      <w:r w:rsidRPr="004924DB">
        <w:rPr>
          <w:rFonts w:ascii="Times New Roman" w:hAnsi="Times New Roman"/>
          <w:b/>
          <w:bCs/>
          <w:sz w:val="24"/>
          <w:szCs w:val="24"/>
        </w:rPr>
        <w:t xml:space="preserve">  </w:t>
      </w:r>
    </w:p>
    <w:p w:rsidR="004924DB" w:rsidRPr="00D72402" w:rsidRDefault="004924DB" w:rsidP="00D72402">
      <w:pPr>
        <w:pStyle w:val="ListParagraph"/>
        <w:numPr>
          <w:ilvl w:val="0"/>
          <w:numId w:val="16"/>
        </w:numPr>
        <w:rPr>
          <w:rFonts w:ascii="Times New Roman" w:hAnsi="Times New Roman"/>
          <w:sz w:val="24"/>
          <w:szCs w:val="24"/>
        </w:rPr>
      </w:pPr>
      <w:r w:rsidRPr="00D72402">
        <w:rPr>
          <w:rFonts w:ascii="Times New Roman" w:hAnsi="Times New Roman"/>
          <w:bCs/>
          <w:sz w:val="24"/>
          <w:szCs w:val="24"/>
        </w:rPr>
        <w:t>Present</w:t>
      </w:r>
      <w:r w:rsidRPr="00D72402">
        <w:rPr>
          <w:rFonts w:ascii="Times New Roman" w:hAnsi="Times New Roman"/>
          <w:sz w:val="24"/>
          <w:szCs w:val="24"/>
        </w:rPr>
        <w:t>: (1) On time and present for every session; (2) Attendance tracked</w:t>
      </w:r>
    </w:p>
    <w:p w:rsidR="004924DB" w:rsidRPr="00D72402" w:rsidRDefault="004924DB" w:rsidP="00D72402">
      <w:pPr>
        <w:pStyle w:val="ListParagraph"/>
        <w:numPr>
          <w:ilvl w:val="0"/>
          <w:numId w:val="16"/>
        </w:numPr>
        <w:rPr>
          <w:rFonts w:ascii="Times New Roman" w:hAnsi="Times New Roman"/>
          <w:sz w:val="24"/>
          <w:szCs w:val="24"/>
        </w:rPr>
      </w:pPr>
      <w:r w:rsidRPr="00D72402">
        <w:rPr>
          <w:rFonts w:ascii="Times New Roman" w:hAnsi="Times New Roman"/>
          <w:bCs/>
          <w:sz w:val="24"/>
          <w:szCs w:val="24"/>
        </w:rPr>
        <w:t>Prepared:</w:t>
      </w:r>
      <w:r w:rsidRPr="00D72402">
        <w:rPr>
          <w:rFonts w:ascii="Times New Roman" w:hAnsi="Times New Roman"/>
          <w:b/>
          <w:bCs/>
          <w:sz w:val="24"/>
          <w:szCs w:val="24"/>
        </w:rPr>
        <w:t xml:space="preserve"> </w:t>
      </w:r>
      <w:r w:rsidRPr="00D72402">
        <w:rPr>
          <w:rFonts w:ascii="Times New Roman" w:hAnsi="Times New Roman"/>
          <w:bCs/>
          <w:sz w:val="24"/>
          <w:szCs w:val="24"/>
        </w:rPr>
        <w:t>(1)</w:t>
      </w:r>
      <w:r w:rsidRPr="00D72402">
        <w:rPr>
          <w:rFonts w:ascii="Times New Roman" w:hAnsi="Times New Roman"/>
          <w:b/>
          <w:bCs/>
          <w:sz w:val="24"/>
          <w:szCs w:val="24"/>
        </w:rPr>
        <w:t xml:space="preserve"> </w:t>
      </w:r>
      <w:r w:rsidRPr="00D72402">
        <w:rPr>
          <w:rFonts w:ascii="Times New Roman" w:hAnsi="Times New Roman"/>
          <w:sz w:val="24"/>
          <w:szCs w:val="24"/>
        </w:rPr>
        <w:t xml:space="preserve">Complete pre-work needed, expect cold calling; (2) Bring nameplates and clickers </w:t>
      </w:r>
    </w:p>
    <w:p w:rsidR="004924DB" w:rsidRPr="00D72402" w:rsidRDefault="004924DB" w:rsidP="00D72402">
      <w:pPr>
        <w:pStyle w:val="ListParagraph"/>
        <w:numPr>
          <w:ilvl w:val="0"/>
          <w:numId w:val="16"/>
        </w:numPr>
        <w:rPr>
          <w:rFonts w:ascii="Times New Roman" w:hAnsi="Times New Roman"/>
          <w:sz w:val="24"/>
          <w:szCs w:val="24"/>
        </w:rPr>
      </w:pPr>
      <w:r w:rsidRPr="00D72402">
        <w:rPr>
          <w:rFonts w:ascii="Times New Roman" w:hAnsi="Times New Roman"/>
          <w:bCs/>
          <w:sz w:val="24"/>
          <w:szCs w:val="24"/>
        </w:rPr>
        <w:t>Participating:</w:t>
      </w:r>
      <w:r w:rsidRPr="00D72402">
        <w:rPr>
          <w:rFonts w:ascii="Times New Roman" w:hAnsi="Times New Roman"/>
          <w:b/>
          <w:bCs/>
          <w:sz w:val="24"/>
          <w:szCs w:val="24"/>
        </w:rPr>
        <w:t xml:space="preserve"> </w:t>
      </w:r>
      <w:r w:rsidRPr="00D72402">
        <w:rPr>
          <w:rFonts w:ascii="Times New Roman" w:hAnsi="Times New Roman"/>
          <w:bCs/>
          <w:sz w:val="24"/>
          <w:szCs w:val="24"/>
        </w:rPr>
        <w:t>(1)</w:t>
      </w:r>
      <w:r w:rsidRPr="00D72402">
        <w:rPr>
          <w:rFonts w:ascii="Times New Roman" w:hAnsi="Times New Roman"/>
          <w:b/>
          <w:bCs/>
          <w:sz w:val="24"/>
          <w:szCs w:val="24"/>
        </w:rPr>
        <w:t xml:space="preserve"> </w:t>
      </w:r>
      <w:r w:rsidRPr="00D72402">
        <w:rPr>
          <w:rFonts w:ascii="Times New Roman" w:hAnsi="Times New Roman"/>
          <w:sz w:val="24"/>
          <w:szCs w:val="24"/>
        </w:rPr>
        <w:t>Constructive participation expected and part of grade; (2) No electronic devices unless explicitly called for by the instructor</w:t>
      </w:r>
    </w:p>
    <w:p w:rsidR="00A64644" w:rsidRPr="00DD740C" w:rsidRDefault="00A64644" w:rsidP="00325BE5">
      <w:pPr>
        <w:rPr>
          <w:rStyle w:val="tgc"/>
          <w:rFonts w:ascii="Times New Roman" w:hAnsi="Times New Roman"/>
          <w:bCs/>
          <w:sz w:val="24"/>
          <w:szCs w:val="24"/>
        </w:rPr>
      </w:pPr>
    </w:p>
    <w:p w:rsidR="00A64644" w:rsidRPr="00DD740C" w:rsidRDefault="00A64644" w:rsidP="00D87833">
      <w:pPr>
        <w:pStyle w:val="ListParagraph"/>
        <w:numPr>
          <w:ilvl w:val="0"/>
          <w:numId w:val="9"/>
        </w:numPr>
        <w:rPr>
          <w:rStyle w:val="tgc"/>
          <w:rFonts w:ascii="Times New Roman" w:hAnsi="Times New Roman"/>
          <w:b/>
          <w:bCs/>
          <w:sz w:val="24"/>
          <w:szCs w:val="24"/>
        </w:rPr>
      </w:pPr>
      <w:r w:rsidRPr="00DD740C">
        <w:rPr>
          <w:rStyle w:val="tgc"/>
          <w:rFonts w:ascii="Times New Roman" w:hAnsi="Times New Roman"/>
          <w:b/>
          <w:bCs/>
          <w:sz w:val="24"/>
          <w:szCs w:val="24"/>
        </w:rPr>
        <w:t xml:space="preserve">Brief descriptions of </w:t>
      </w:r>
      <w:r w:rsidR="004D37F7">
        <w:rPr>
          <w:rStyle w:val="tgc"/>
          <w:rFonts w:ascii="Times New Roman" w:hAnsi="Times New Roman"/>
          <w:b/>
          <w:bCs/>
          <w:sz w:val="24"/>
          <w:szCs w:val="24"/>
        </w:rPr>
        <w:t xml:space="preserve">some </w:t>
      </w:r>
      <w:r w:rsidRPr="00DD740C">
        <w:rPr>
          <w:rStyle w:val="tgc"/>
          <w:rFonts w:ascii="Times New Roman" w:hAnsi="Times New Roman"/>
          <w:b/>
          <w:bCs/>
          <w:sz w:val="24"/>
          <w:szCs w:val="24"/>
        </w:rPr>
        <w:t>major topics</w:t>
      </w:r>
    </w:p>
    <w:p w:rsidR="00A64644" w:rsidRPr="00DD740C" w:rsidRDefault="00A64644" w:rsidP="00325BE5">
      <w:pPr>
        <w:rPr>
          <w:rStyle w:val="tgc"/>
          <w:rFonts w:ascii="Times New Roman" w:hAnsi="Times New Roman"/>
          <w:b/>
          <w:bCs/>
          <w:sz w:val="24"/>
          <w:szCs w:val="24"/>
        </w:rPr>
      </w:pPr>
    </w:p>
    <w:p w:rsidR="009B1C0F" w:rsidRPr="00DD740C" w:rsidRDefault="009B1C0F" w:rsidP="009B1C0F">
      <w:pPr>
        <w:rPr>
          <w:rStyle w:val="tgc"/>
          <w:rFonts w:ascii="Times New Roman" w:hAnsi="Times New Roman"/>
          <w:bCs/>
          <w:sz w:val="24"/>
          <w:szCs w:val="24"/>
          <w:u w:val="single"/>
        </w:rPr>
      </w:pPr>
      <w:r w:rsidRPr="00DD740C">
        <w:rPr>
          <w:rStyle w:val="tgc"/>
          <w:rFonts w:ascii="Times New Roman" w:hAnsi="Times New Roman"/>
          <w:bCs/>
          <w:sz w:val="24"/>
          <w:szCs w:val="24"/>
          <w:u w:val="single"/>
        </w:rPr>
        <w:t>Health technology assessment</w:t>
      </w:r>
      <w:r w:rsidRPr="00DD740C">
        <w:rPr>
          <w:rStyle w:val="tgc"/>
          <w:rFonts w:ascii="Times New Roman" w:hAnsi="Times New Roman"/>
          <w:sz w:val="24"/>
          <w:szCs w:val="24"/>
          <w:u w:val="single"/>
        </w:rPr>
        <w:t xml:space="preserve"> and </w:t>
      </w:r>
      <w:r w:rsidRPr="00DD740C">
        <w:rPr>
          <w:rStyle w:val="tgc"/>
          <w:rFonts w:ascii="Times New Roman" w:hAnsi="Times New Roman"/>
          <w:bCs/>
          <w:sz w:val="24"/>
          <w:szCs w:val="24"/>
          <w:u w:val="single"/>
        </w:rPr>
        <w:t>cost</w:t>
      </w:r>
      <w:r w:rsidRPr="00DD740C">
        <w:rPr>
          <w:rStyle w:val="tgc"/>
          <w:rFonts w:ascii="Times New Roman" w:hAnsi="Times New Roman"/>
          <w:sz w:val="24"/>
          <w:szCs w:val="24"/>
          <w:u w:val="single"/>
        </w:rPr>
        <w:t>-</w:t>
      </w:r>
      <w:r w:rsidRPr="00DD740C">
        <w:rPr>
          <w:rStyle w:val="tgc"/>
          <w:rFonts w:ascii="Times New Roman" w:hAnsi="Times New Roman"/>
          <w:bCs/>
          <w:sz w:val="24"/>
          <w:szCs w:val="24"/>
          <w:u w:val="single"/>
        </w:rPr>
        <w:t>effectiveness analysis</w:t>
      </w:r>
    </w:p>
    <w:p w:rsidR="009B1C0F" w:rsidRPr="00DD740C" w:rsidRDefault="009B1C0F" w:rsidP="00325BE5">
      <w:pPr>
        <w:rPr>
          <w:rStyle w:val="tgc"/>
          <w:rFonts w:ascii="Times New Roman" w:hAnsi="Times New Roman"/>
          <w:b/>
          <w:bCs/>
          <w:sz w:val="24"/>
          <w:szCs w:val="24"/>
        </w:rPr>
      </w:pPr>
    </w:p>
    <w:p w:rsidR="00325BE5" w:rsidRPr="00DD740C" w:rsidRDefault="00325BE5" w:rsidP="00325BE5">
      <w:pPr>
        <w:rPr>
          <w:rStyle w:val="tgc"/>
          <w:rFonts w:ascii="Times New Roman" w:hAnsi="Times New Roman"/>
          <w:sz w:val="24"/>
          <w:szCs w:val="24"/>
        </w:rPr>
      </w:pPr>
      <w:r w:rsidRPr="00DD740C">
        <w:rPr>
          <w:rStyle w:val="tgc"/>
          <w:rFonts w:ascii="Times New Roman" w:hAnsi="Times New Roman"/>
          <w:bCs/>
          <w:sz w:val="24"/>
          <w:szCs w:val="24"/>
        </w:rPr>
        <w:t>Health technology assessment</w:t>
      </w:r>
      <w:r w:rsidRPr="00DD740C">
        <w:rPr>
          <w:rStyle w:val="tgc"/>
          <w:rFonts w:ascii="Times New Roman" w:hAnsi="Times New Roman"/>
          <w:sz w:val="24"/>
          <w:szCs w:val="24"/>
        </w:rPr>
        <w:t xml:space="preserve"> is a multidisciplinary process that summari</w:t>
      </w:r>
      <w:r w:rsidR="009B1C0F" w:rsidRPr="00DD740C">
        <w:rPr>
          <w:rStyle w:val="tgc"/>
          <w:rFonts w:ascii="Times New Roman" w:hAnsi="Times New Roman"/>
          <w:sz w:val="24"/>
          <w:szCs w:val="24"/>
        </w:rPr>
        <w:t>z</w:t>
      </w:r>
      <w:r w:rsidRPr="00DD740C">
        <w:rPr>
          <w:rStyle w:val="tgc"/>
          <w:rFonts w:ascii="Times New Roman" w:hAnsi="Times New Roman"/>
          <w:sz w:val="24"/>
          <w:szCs w:val="24"/>
        </w:rPr>
        <w:t xml:space="preserve">es information about the medical, social, economic and ethical issues related to the use of a </w:t>
      </w:r>
      <w:r w:rsidRPr="00DD740C">
        <w:rPr>
          <w:rStyle w:val="tgc"/>
          <w:rFonts w:ascii="Times New Roman" w:hAnsi="Times New Roman"/>
          <w:bCs/>
          <w:sz w:val="24"/>
          <w:szCs w:val="24"/>
        </w:rPr>
        <w:t>health technology</w:t>
      </w:r>
      <w:r w:rsidRPr="00DD740C">
        <w:rPr>
          <w:rStyle w:val="tgc"/>
          <w:rFonts w:ascii="Times New Roman" w:hAnsi="Times New Roman"/>
          <w:sz w:val="24"/>
          <w:szCs w:val="24"/>
        </w:rPr>
        <w:t xml:space="preserve"> in a systematic, transparent, unbiased, robust manner.</w:t>
      </w:r>
      <w:r w:rsidR="009B1C0F" w:rsidRPr="00DD740C">
        <w:rPr>
          <w:rStyle w:val="tgc"/>
          <w:rFonts w:ascii="Times New Roman" w:hAnsi="Times New Roman"/>
          <w:sz w:val="24"/>
          <w:szCs w:val="24"/>
        </w:rPr>
        <w:t xml:space="preserve">  </w:t>
      </w:r>
      <w:r w:rsidRPr="00DD740C">
        <w:rPr>
          <w:rStyle w:val="tgc"/>
          <w:rFonts w:ascii="Times New Roman" w:hAnsi="Times New Roman"/>
          <w:bCs/>
          <w:sz w:val="24"/>
          <w:szCs w:val="24"/>
        </w:rPr>
        <w:t>Cost</w:t>
      </w:r>
      <w:r w:rsidRPr="00DD740C">
        <w:rPr>
          <w:rStyle w:val="tgc"/>
          <w:rFonts w:ascii="Times New Roman" w:hAnsi="Times New Roman"/>
          <w:sz w:val="24"/>
          <w:szCs w:val="24"/>
        </w:rPr>
        <w:t>-</w:t>
      </w:r>
      <w:r w:rsidRPr="00DD740C">
        <w:rPr>
          <w:rStyle w:val="tgc"/>
          <w:rFonts w:ascii="Times New Roman" w:hAnsi="Times New Roman"/>
          <w:bCs/>
          <w:sz w:val="24"/>
          <w:szCs w:val="24"/>
        </w:rPr>
        <w:t>effectiveness analysis</w:t>
      </w:r>
      <w:r w:rsidRPr="00DD740C">
        <w:rPr>
          <w:rStyle w:val="tgc"/>
          <w:rFonts w:ascii="Times New Roman" w:hAnsi="Times New Roman"/>
          <w:sz w:val="24"/>
          <w:szCs w:val="24"/>
        </w:rPr>
        <w:t xml:space="preserve"> is a form of economic </w:t>
      </w:r>
      <w:r w:rsidRPr="00DD740C">
        <w:rPr>
          <w:rStyle w:val="tgc"/>
          <w:rFonts w:ascii="Times New Roman" w:hAnsi="Times New Roman"/>
          <w:bCs/>
          <w:sz w:val="24"/>
          <w:szCs w:val="24"/>
        </w:rPr>
        <w:t>analysis</w:t>
      </w:r>
      <w:r w:rsidRPr="00DD740C">
        <w:rPr>
          <w:rStyle w:val="tgc"/>
          <w:rFonts w:ascii="Times New Roman" w:hAnsi="Times New Roman"/>
          <w:sz w:val="24"/>
          <w:szCs w:val="24"/>
        </w:rPr>
        <w:t xml:space="preserve"> that compares the relative </w:t>
      </w:r>
      <w:r w:rsidRPr="00DD740C">
        <w:rPr>
          <w:rStyle w:val="tgc"/>
          <w:rFonts w:ascii="Times New Roman" w:hAnsi="Times New Roman"/>
          <w:bCs/>
          <w:sz w:val="24"/>
          <w:szCs w:val="24"/>
        </w:rPr>
        <w:t>costs</w:t>
      </w:r>
      <w:r w:rsidRPr="00DD740C">
        <w:rPr>
          <w:rStyle w:val="tgc"/>
          <w:rFonts w:ascii="Times New Roman" w:hAnsi="Times New Roman"/>
          <w:sz w:val="24"/>
          <w:szCs w:val="24"/>
        </w:rPr>
        <w:t xml:space="preserve"> and outcomes (effects) of two or more courses </w:t>
      </w:r>
      <w:r w:rsidRPr="00DD740C">
        <w:rPr>
          <w:rStyle w:val="tgc"/>
          <w:rFonts w:ascii="Times New Roman" w:hAnsi="Times New Roman"/>
          <w:sz w:val="24"/>
          <w:szCs w:val="24"/>
        </w:rPr>
        <w:lastRenderedPageBreak/>
        <w:t xml:space="preserve">of action. </w:t>
      </w:r>
      <w:r w:rsidRPr="00DD740C">
        <w:rPr>
          <w:rStyle w:val="tgc"/>
          <w:rFonts w:ascii="Times New Roman" w:hAnsi="Times New Roman"/>
          <w:bCs/>
          <w:sz w:val="24"/>
          <w:szCs w:val="24"/>
        </w:rPr>
        <w:t>Cost</w:t>
      </w:r>
      <w:r w:rsidRPr="00DD740C">
        <w:rPr>
          <w:rStyle w:val="tgc"/>
          <w:rFonts w:ascii="Times New Roman" w:hAnsi="Times New Roman"/>
          <w:sz w:val="24"/>
          <w:szCs w:val="24"/>
        </w:rPr>
        <w:t>-</w:t>
      </w:r>
      <w:r w:rsidRPr="00DD740C">
        <w:rPr>
          <w:rStyle w:val="tgc"/>
          <w:rFonts w:ascii="Times New Roman" w:hAnsi="Times New Roman"/>
          <w:bCs/>
          <w:sz w:val="24"/>
          <w:szCs w:val="24"/>
        </w:rPr>
        <w:t>effectiveness analysis</w:t>
      </w:r>
      <w:r w:rsidRPr="00DD740C">
        <w:rPr>
          <w:rStyle w:val="tgc"/>
          <w:rFonts w:ascii="Times New Roman" w:hAnsi="Times New Roman"/>
          <w:sz w:val="24"/>
          <w:szCs w:val="24"/>
        </w:rPr>
        <w:t xml:space="preserve"> is distinct from </w:t>
      </w:r>
      <w:r w:rsidRPr="00DD740C">
        <w:rPr>
          <w:rStyle w:val="tgc"/>
          <w:rFonts w:ascii="Times New Roman" w:hAnsi="Times New Roman"/>
          <w:bCs/>
          <w:sz w:val="24"/>
          <w:szCs w:val="24"/>
        </w:rPr>
        <w:t>cost</w:t>
      </w:r>
      <w:r w:rsidRPr="00DD740C">
        <w:rPr>
          <w:rStyle w:val="tgc"/>
          <w:rFonts w:ascii="Times New Roman" w:hAnsi="Times New Roman"/>
          <w:sz w:val="24"/>
          <w:szCs w:val="24"/>
        </w:rPr>
        <w:t xml:space="preserve">–benefit </w:t>
      </w:r>
      <w:r w:rsidRPr="00DD740C">
        <w:rPr>
          <w:rStyle w:val="tgc"/>
          <w:rFonts w:ascii="Times New Roman" w:hAnsi="Times New Roman"/>
          <w:bCs/>
          <w:sz w:val="24"/>
          <w:szCs w:val="24"/>
        </w:rPr>
        <w:t>analysis</w:t>
      </w:r>
      <w:r w:rsidRPr="00DD740C">
        <w:rPr>
          <w:rStyle w:val="tgc"/>
          <w:rFonts w:ascii="Times New Roman" w:hAnsi="Times New Roman"/>
          <w:sz w:val="24"/>
          <w:szCs w:val="24"/>
        </w:rPr>
        <w:t>, which assigns a monetary value to the measure of effect.</w:t>
      </w:r>
    </w:p>
    <w:p w:rsidR="009B1C0F" w:rsidRPr="00DD740C" w:rsidRDefault="009B1C0F" w:rsidP="00325BE5">
      <w:pPr>
        <w:rPr>
          <w:rStyle w:val="tgc"/>
          <w:rFonts w:ascii="Times New Roman" w:hAnsi="Times New Roman"/>
          <w:sz w:val="24"/>
          <w:szCs w:val="24"/>
        </w:rPr>
      </w:pPr>
    </w:p>
    <w:p w:rsidR="009B1C0F" w:rsidRPr="00DD740C" w:rsidRDefault="009B1C0F" w:rsidP="009B1C0F">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9B1C0F" w:rsidRPr="00DD740C" w:rsidRDefault="009B1C0F" w:rsidP="009B1C0F">
      <w:pPr>
        <w:pStyle w:val="Heading1"/>
        <w:numPr>
          <w:ilvl w:val="0"/>
          <w:numId w:val="3"/>
        </w:numPr>
        <w:spacing w:before="0" w:beforeAutospacing="0" w:after="0" w:afterAutospacing="0"/>
        <w:rPr>
          <w:b w:val="0"/>
          <w:sz w:val="24"/>
          <w:szCs w:val="24"/>
        </w:rPr>
      </w:pPr>
      <w:proofErr w:type="spellStart"/>
      <w:r w:rsidRPr="00DD740C">
        <w:rPr>
          <w:b w:val="0"/>
          <w:sz w:val="24"/>
          <w:szCs w:val="24"/>
        </w:rPr>
        <w:t>Exubera</w:t>
      </w:r>
      <w:proofErr w:type="spellEnd"/>
      <w:r w:rsidRPr="00DD740C">
        <w:rPr>
          <w:b w:val="0"/>
          <w:sz w:val="24"/>
          <w:szCs w:val="24"/>
        </w:rPr>
        <w:t xml:space="preserve"> and NICE</w:t>
      </w:r>
    </w:p>
    <w:p w:rsidR="009B1C0F" w:rsidRPr="00DD740C" w:rsidRDefault="009B1C0F" w:rsidP="009B1C0F">
      <w:pPr>
        <w:pStyle w:val="ListParagraph"/>
        <w:numPr>
          <w:ilvl w:val="0"/>
          <w:numId w:val="2"/>
        </w:numPr>
        <w:rPr>
          <w:rFonts w:ascii="Times New Roman" w:hAnsi="Times New Roman"/>
          <w:sz w:val="24"/>
          <w:szCs w:val="24"/>
        </w:rPr>
      </w:pPr>
      <w:r w:rsidRPr="00DD740C">
        <w:rPr>
          <w:rFonts w:ascii="Times New Roman" w:hAnsi="Times New Roman"/>
          <w:sz w:val="24"/>
          <w:szCs w:val="24"/>
        </w:rPr>
        <w:t>New treatments for genotype 1 hepatitis C infections</w:t>
      </w:r>
    </w:p>
    <w:p w:rsidR="009B1C0F" w:rsidRPr="00DD740C" w:rsidRDefault="009B1C0F" w:rsidP="009B1C0F">
      <w:pPr>
        <w:pStyle w:val="Default"/>
        <w:numPr>
          <w:ilvl w:val="0"/>
          <w:numId w:val="2"/>
        </w:numPr>
        <w:rPr>
          <w:rStyle w:val="Emphasis"/>
          <w:rFonts w:ascii="Times New Roman" w:hAnsi="Times New Roman" w:cs="Times New Roman"/>
          <w:i w:val="0"/>
          <w:iCs w:val="0"/>
        </w:rPr>
      </w:pPr>
      <w:r w:rsidRPr="00DD740C">
        <w:rPr>
          <w:rStyle w:val="Emphasis"/>
          <w:rFonts w:ascii="Times New Roman" w:hAnsi="Times New Roman" w:cs="Times New Roman"/>
          <w:i w:val="0"/>
        </w:rPr>
        <w:t>PCSK9 Inhibitor Therapies for High Cholesterol: Effectiveness, Value, and Value-Based Price Benchmarks</w:t>
      </w:r>
    </w:p>
    <w:p w:rsidR="009B1C0F" w:rsidRPr="00DD740C" w:rsidRDefault="009B1C0F" w:rsidP="009B1C0F">
      <w:pPr>
        <w:pStyle w:val="ListParagraph"/>
        <w:numPr>
          <w:ilvl w:val="0"/>
          <w:numId w:val="2"/>
        </w:numPr>
        <w:rPr>
          <w:rFonts w:ascii="Times New Roman" w:eastAsia="Times New Roman" w:hAnsi="Times New Roman"/>
          <w:sz w:val="24"/>
          <w:szCs w:val="24"/>
        </w:rPr>
      </w:pPr>
      <w:r w:rsidRPr="00DD740C">
        <w:rPr>
          <w:rFonts w:ascii="Times New Roman" w:eastAsia="Times New Roman" w:hAnsi="Times New Roman"/>
          <w:sz w:val="24"/>
          <w:szCs w:val="24"/>
        </w:rPr>
        <w:t>Cost-effectiveness of malaria diagnostic methods in sub-Saharan Africa in an era of combination therapy</w:t>
      </w:r>
    </w:p>
    <w:p w:rsidR="009B1C0F" w:rsidRPr="00DD740C" w:rsidRDefault="009B1C0F" w:rsidP="009B1C0F">
      <w:pPr>
        <w:rPr>
          <w:rStyle w:val="tgc"/>
          <w:rFonts w:ascii="Times New Roman" w:hAnsi="Times New Roman"/>
          <w:sz w:val="24"/>
          <w:szCs w:val="24"/>
        </w:rPr>
      </w:pPr>
    </w:p>
    <w:p w:rsidR="009B1C0F" w:rsidRPr="00DD740C" w:rsidRDefault="009B1C0F" w:rsidP="009B1C0F">
      <w:pPr>
        <w:rPr>
          <w:rStyle w:val="tgc"/>
          <w:rFonts w:ascii="Times New Roman" w:hAnsi="Times New Roman"/>
          <w:bCs/>
          <w:sz w:val="24"/>
          <w:szCs w:val="24"/>
          <w:u w:val="single"/>
        </w:rPr>
      </w:pPr>
      <w:r w:rsidRPr="00DD740C">
        <w:rPr>
          <w:rStyle w:val="tgc"/>
          <w:rFonts w:ascii="Times New Roman" w:hAnsi="Times New Roman"/>
          <w:bCs/>
          <w:sz w:val="24"/>
          <w:szCs w:val="24"/>
          <w:u w:val="single"/>
        </w:rPr>
        <w:t>Personalized medicine, pharmacogenomics, and companion diagnostics</w:t>
      </w:r>
    </w:p>
    <w:p w:rsidR="009B1C0F" w:rsidRPr="00DD740C" w:rsidRDefault="009B1C0F" w:rsidP="00325BE5">
      <w:pPr>
        <w:rPr>
          <w:rFonts w:ascii="Times New Roman" w:hAnsi="Times New Roman"/>
          <w:sz w:val="24"/>
          <w:szCs w:val="24"/>
        </w:rPr>
      </w:pPr>
    </w:p>
    <w:p w:rsidR="00A57B63" w:rsidRPr="00DD740C" w:rsidRDefault="00325BE5" w:rsidP="00325BE5">
      <w:pPr>
        <w:rPr>
          <w:rStyle w:val="tgc"/>
          <w:rFonts w:ascii="Times New Roman" w:hAnsi="Times New Roman"/>
          <w:sz w:val="24"/>
          <w:szCs w:val="24"/>
        </w:rPr>
      </w:pPr>
      <w:r w:rsidRPr="00DD740C">
        <w:rPr>
          <w:rStyle w:val="tgc"/>
          <w:rFonts w:ascii="Times New Roman" w:hAnsi="Times New Roman"/>
          <w:bCs/>
          <w:sz w:val="24"/>
          <w:szCs w:val="24"/>
        </w:rPr>
        <w:t>Personalized medicine</w:t>
      </w:r>
      <w:r w:rsidRPr="00DD740C">
        <w:rPr>
          <w:rStyle w:val="tgc"/>
          <w:rFonts w:ascii="Times New Roman" w:hAnsi="Times New Roman"/>
          <w:sz w:val="24"/>
          <w:szCs w:val="24"/>
        </w:rPr>
        <w:t xml:space="preserve"> is a </w:t>
      </w:r>
      <w:r w:rsidRPr="00DD740C">
        <w:rPr>
          <w:rStyle w:val="tgc"/>
          <w:rFonts w:ascii="Times New Roman" w:hAnsi="Times New Roman"/>
          <w:bCs/>
          <w:sz w:val="24"/>
          <w:szCs w:val="24"/>
        </w:rPr>
        <w:t>medical</w:t>
      </w:r>
      <w:r w:rsidRPr="00DD740C">
        <w:rPr>
          <w:rStyle w:val="tgc"/>
          <w:rFonts w:ascii="Times New Roman" w:hAnsi="Times New Roman"/>
          <w:sz w:val="24"/>
          <w:szCs w:val="24"/>
        </w:rPr>
        <w:t xml:space="preserve"> model that proposes the customization of healthcare - with </w:t>
      </w:r>
      <w:r w:rsidRPr="00DD740C">
        <w:rPr>
          <w:rStyle w:val="tgc"/>
          <w:rFonts w:ascii="Times New Roman" w:hAnsi="Times New Roman"/>
          <w:bCs/>
          <w:sz w:val="24"/>
          <w:szCs w:val="24"/>
        </w:rPr>
        <w:t>medical</w:t>
      </w:r>
      <w:r w:rsidRPr="00DD740C">
        <w:rPr>
          <w:rStyle w:val="tgc"/>
          <w:rFonts w:ascii="Times New Roman" w:hAnsi="Times New Roman"/>
          <w:sz w:val="24"/>
          <w:szCs w:val="24"/>
        </w:rPr>
        <w:t xml:space="preserve"> decisions, practices, and/or products being tailored to the individual patient.</w:t>
      </w:r>
      <w:r w:rsidR="009B1C0F" w:rsidRPr="00DD740C">
        <w:rPr>
          <w:rStyle w:val="tgc"/>
          <w:rFonts w:ascii="Times New Roman" w:hAnsi="Times New Roman"/>
          <w:sz w:val="24"/>
          <w:szCs w:val="24"/>
        </w:rPr>
        <w:t xml:space="preserve">  </w:t>
      </w:r>
      <w:r w:rsidR="009A6C2E" w:rsidRPr="00DD740C">
        <w:rPr>
          <w:rStyle w:val="tgc"/>
          <w:rFonts w:ascii="Times New Roman" w:hAnsi="Times New Roman"/>
          <w:bCs/>
          <w:sz w:val="24"/>
          <w:szCs w:val="24"/>
        </w:rPr>
        <w:t>Pharmacogenomics</w:t>
      </w:r>
      <w:r w:rsidR="009A6C2E" w:rsidRPr="00DD740C">
        <w:rPr>
          <w:rStyle w:val="tgc"/>
          <w:rFonts w:ascii="Times New Roman" w:hAnsi="Times New Roman"/>
          <w:sz w:val="24"/>
          <w:szCs w:val="24"/>
        </w:rPr>
        <w:t xml:space="preserve"> is the study of how genes affect a person's response to drugs. This relatively new field combines pharmacology (the science of drugs) and genomics (the study of genes and their functions) to develop effective, safe medications and doses that will be tailor</w:t>
      </w:r>
      <w:r w:rsidR="009B1C0F" w:rsidRPr="00DD740C">
        <w:rPr>
          <w:rStyle w:val="tgc"/>
          <w:rFonts w:ascii="Times New Roman" w:hAnsi="Times New Roman"/>
          <w:sz w:val="24"/>
          <w:szCs w:val="24"/>
        </w:rPr>
        <w:t xml:space="preserve">ed to a person's genetic makeup: </w:t>
      </w:r>
      <w:r w:rsidR="009A6C2E" w:rsidRPr="00DD740C">
        <w:rPr>
          <w:rFonts w:ascii="Times New Roman" w:hAnsi="Times New Roman"/>
          <w:sz w:val="24"/>
          <w:szCs w:val="24"/>
        </w:rPr>
        <w:t>“the right drug for the right patient at the right dose at the right time</w:t>
      </w:r>
      <w:r w:rsidR="009B1C0F" w:rsidRPr="00DD740C">
        <w:rPr>
          <w:rFonts w:ascii="Times New Roman" w:hAnsi="Times New Roman"/>
          <w:sz w:val="24"/>
          <w:szCs w:val="24"/>
        </w:rPr>
        <w:t>.</w:t>
      </w:r>
      <w:r w:rsidR="009A6C2E" w:rsidRPr="00DD740C">
        <w:rPr>
          <w:rFonts w:ascii="Times New Roman" w:hAnsi="Times New Roman"/>
          <w:sz w:val="24"/>
          <w:szCs w:val="24"/>
        </w:rPr>
        <w:t>”</w:t>
      </w:r>
      <w:r w:rsidR="009B1C0F" w:rsidRPr="00DD740C">
        <w:rPr>
          <w:rFonts w:ascii="Times New Roman" w:hAnsi="Times New Roman"/>
          <w:sz w:val="24"/>
          <w:szCs w:val="24"/>
        </w:rPr>
        <w:t xml:space="preserve">   </w:t>
      </w:r>
      <w:r w:rsidR="00A57B63" w:rsidRPr="00DD740C">
        <w:rPr>
          <w:rStyle w:val="tgc"/>
          <w:rFonts w:ascii="Times New Roman" w:hAnsi="Times New Roman"/>
          <w:bCs/>
          <w:sz w:val="24"/>
          <w:szCs w:val="24"/>
        </w:rPr>
        <w:t>Companion diagnostics</w:t>
      </w:r>
      <w:r w:rsidR="00A57B63" w:rsidRPr="00DD740C">
        <w:rPr>
          <w:rStyle w:val="tgc"/>
          <w:rFonts w:ascii="Times New Roman" w:hAnsi="Times New Roman"/>
          <w:sz w:val="24"/>
          <w:szCs w:val="24"/>
        </w:rPr>
        <w:t xml:space="preserve"> are assays (a test or measurement) intended to assist physicians in making treatment decisions for their patients. They do so by elucidating the efficacy and/or safety of a specific drug or class of drugs for a targeted patient group or sub-groups.</w:t>
      </w:r>
    </w:p>
    <w:p w:rsidR="00A57B63" w:rsidRPr="00DD740C" w:rsidRDefault="00A57B63" w:rsidP="00325BE5">
      <w:pPr>
        <w:rPr>
          <w:rStyle w:val="tgc"/>
          <w:rFonts w:ascii="Times New Roman" w:hAnsi="Times New Roman"/>
          <w:sz w:val="24"/>
          <w:szCs w:val="24"/>
        </w:rPr>
      </w:pPr>
    </w:p>
    <w:p w:rsidR="009B1C0F" w:rsidRPr="00DD740C" w:rsidRDefault="009B1C0F" w:rsidP="009B1C0F">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9B1C0F" w:rsidRPr="00DD740C" w:rsidRDefault="009B1C0F" w:rsidP="009B1C0F">
      <w:pPr>
        <w:pStyle w:val="ListParagraph"/>
        <w:numPr>
          <w:ilvl w:val="0"/>
          <w:numId w:val="4"/>
        </w:numPr>
        <w:rPr>
          <w:rFonts w:ascii="Times New Roman" w:hAnsi="Times New Roman"/>
          <w:sz w:val="24"/>
          <w:szCs w:val="24"/>
        </w:rPr>
      </w:pPr>
      <w:r w:rsidRPr="00DD740C">
        <w:rPr>
          <w:rFonts w:ascii="Times New Roman" w:hAnsi="Times New Roman"/>
          <w:sz w:val="24"/>
          <w:szCs w:val="24"/>
        </w:rPr>
        <w:t>Plavix: Drugs in the Age of Personalized Medicine</w:t>
      </w:r>
    </w:p>
    <w:p w:rsidR="00524AA3" w:rsidRPr="00DD740C" w:rsidRDefault="00524AA3" w:rsidP="00524AA3">
      <w:pPr>
        <w:pStyle w:val="ListParagraph"/>
        <w:numPr>
          <w:ilvl w:val="0"/>
          <w:numId w:val="4"/>
        </w:numPr>
        <w:rPr>
          <w:rFonts w:ascii="Times New Roman" w:hAnsi="Times New Roman"/>
          <w:sz w:val="24"/>
          <w:szCs w:val="24"/>
        </w:rPr>
      </w:pPr>
      <w:r w:rsidRPr="00DD740C">
        <w:rPr>
          <w:rFonts w:ascii="Times New Roman" w:hAnsi="Times New Roman"/>
          <w:sz w:val="24"/>
          <w:szCs w:val="24"/>
        </w:rPr>
        <w:t>Decision-analytic modeling for economic evaluation of new diagnostic tests</w:t>
      </w:r>
    </w:p>
    <w:p w:rsidR="00524AA3" w:rsidRPr="00DD740C" w:rsidRDefault="00524AA3" w:rsidP="00524AA3">
      <w:pPr>
        <w:pStyle w:val="ListParagraph"/>
        <w:numPr>
          <w:ilvl w:val="0"/>
          <w:numId w:val="4"/>
        </w:numPr>
        <w:rPr>
          <w:rFonts w:ascii="Times New Roman" w:hAnsi="Times New Roman"/>
          <w:sz w:val="24"/>
          <w:szCs w:val="24"/>
        </w:rPr>
      </w:pPr>
      <w:r w:rsidRPr="00DD740C">
        <w:rPr>
          <w:rFonts w:ascii="Times New Roman" w:hAnsi="Times New Roman"/>
          <w:sz w:val="24"/>
          <w:szCs w:val="24"/>
        </w:rPr>
        <w:t xml:space="preserve">Managing Drugs on the Forefront of Personalized Medicine: The Erbitux and </w:t>
      </w:r>
      <w:proofErr w:type="spellStart"/>
      <w:r w:rsidRPr="00DD740C">
        <w:rPr>
          <w:rFonts w:ascii="Times New Roman" w:hAnsi="Times New Roman"/>
          <w:sz w:val="24"/>
          <w:szCs w:val="24"/>
        </w:rPr>
        <w:t>Vectibix</w:t>
      </w:r>
      <w:proofErr w:type="spellEnd"/>
      <w:r w:rsidRPr="00DD740C">
        <w:rPr>
          <w:rFonts w:ascii="Times New Roman" w:hAnsi="Times New Roman"/>
          <w:sz w:val="24"/>
          <w:szCs w:val="24"/>
        </w:rPr>
        <w:t xml:space="preserve"> Story</w:t>
      </w:r>
    </w:p>
    <w:p w:rsidR="009B1C0F" w:rsidRPr="00DD740C" w:rsidRDefault="009B1C0F" w:rsidP="00325BE5">
      <w:pPr>
        <w:rPr>
          <w:rStyle w:val="tgc"/>
          <w:rFonts w:ascii="Times New Roman" w:hAnsi="Times New Roman"/>
          <w:b/>
          <w:bCs/>
          <w:sz w:val="24"/>
          <w:szCs w:val="24"/>
        </w:rPr>
      </w:pPr>
    </w:p>
    <w:p w:rsidR="00524AA3" w:rsidRPr="00DD740C" w:rsidRDefault="00524AA3" w:rsidP="00325BE5">
      <w:pPr>
        <w:rPr>
          <w:rStyle w:val="tgc"/>
          <w:rFonts w:ascii="Times New Roman" w:hAnsi="Times New Roman"/>
          <w:bCs/>
          <w:sz w:val="24"/>
          <w:szCs w:val="24"/>
          <w:u w:val="single"/>
        </w:rPr>
      </w:pPr>
      <w:r w:rsidRPr="00DD740C">
        <w:rPr>
          <w:rStyle w:val="tgc"/>
          <w:rFonts w:ascii="Times New Roman" w:hAnsi="Times New Roman"/>
          <w:bCs/>
          <w:sz w:val="24"/>
          <w:szCs w:val="24"/>
          <w:u w:val="single"/>
        </w:rPr>
        <w:t>Medication adherence</w:t>
      </w:r>
    </w:p>
    <w:p w:rsidR="00524AA3" w:rsidRPr="00DD740C" w:rsidRDefault="00524AA3" w:rsidP="00325BE5">
      <w:pPr>
        <w:rPr>
          <w:rStyle w:val="tgc"/>
          <w:rFonts w:ascii="Times New Roman" w:hAnsi="Times New Roman"/>
          <w:b/>
          <w:bCs/>
          <w:sz w:val="24"/>
          <w:szCs w:val="24"/>
        </w:rPr>
      </w:pPr>
    </w:p>
    <w:p w:rsidR="00A57B63" w:rsidRPr="00DD740C" w:rsidRDefault="00A57B63" w:rsidP="00325BE5">
      <w:pPr>
        <w:rPr>
          <w:rFonts w:ascii="Times New Roman" w:hAnsi="Times New Roman"/>
          <w:sz w:val="24"/>
          <w:szCs w:val="24"/>
        </w:rPr>
      </w:pPr>
      <w:r w:rsidRPr="00DD740C">
        <w:rPr>
          <w:rStyle w:val="tgc"/>
          <w:rFonts w:ascii="Times New Roman" w:hAnsi="Times New Roman"/>
          <w:bCs/>
          <w:sz w:val="24"/>
          <w:szCs w:val="24"/>
        </w:rPr>
        <w:t>Medication adherence</w:t>
      </w:r>
      <w:r w:rsidRPr="00DD740C">
        <w:rPr>
          <w:rStyle w:val="tgc"/>
          <w:rFonts w:ascii="Times New Roman" w:hAnsi="Times New Roman"/>
          <w:sz w:val="24"/>
          <w:szCs w:val="24"/>
        </w:rPr>
        <w:t xml:space="preserve">, or taking </w:t>
      </w:r>
      <w:r w:rsidRPr="00DD740C">
        <w:rPr>
          <w:rStyle w:val="tgc"/>
          <w:rFonts w:ascii="Times New Roman" w:hAnsi="Times New Roman"/>
          <w:bCs/>
          <w:sz w:val="24"/>
          <w:szCs w:val="24"/>
        </w:rPr>
        <w:t>medications</w:t>
      </w:r>
      <w:r w:rsidRPr="00DD740C">
        <w:rPr>
          <w:rStyle w:val="tgc"/>
          <w:rFonts w:ascii="Times New Roman" w:hAnsi="Times New Roman"/>
          <w:sz w:val="24"/>
          <w:szCs w:val="24"/>
        </w:rPr>
        <w:t xml:space="preserve"> correctly, is generally defined as the extent to which patients take </w:t>
      </w:r>
      <w:r w:rsidRPr="00DD740C">
        <w:rPr>
          <w:rStyle w:val="tgc"/>
          <w:rFonts w:ascii="Times New Roman" w:hAnsi="Times New Roman"/>
          <w:bCs/>
          <w:sz w:val="24"/>
          <w:szCs w:val="24"/>
        </w:rPr>
        <w:t>medication</w:t>
      </w:r>
      <w:r w:rsidRPr="00DD740C">
        <w:rPr>
          <w:rStyle w:val="tgc"/>
          <w:rFonts w:ascii="Times New Roman" w:hAnsi="Times New Roman"/>
          <w:sz w:val="24"/>
          <w:szCs w:val="24"/>
        </w:rPr>
        <w:t xml:space="preserve"> as prescribed by their doctors.</w:t>
      </w:r>
    </w:p>
    <w:p w:rsidR="00A57B63" w:rsidRPr="00DD740C" w:rsidRDefault="00A57B63" w:rsidP="00325BE5">
      <w:pPr>
        <w:rPr>
          <w:rFonts w:ascii="Times New Roman" w:hAnsi="Times New Roman"/>
          <w:sz w:val="24"/>
          <w:szCs w:val="24"/>
        </w:rPr>
      </w:pPr>
    </w:p>
    <w:p w:rsidR="00524AA3" w:rsidRPr="00DD740C" w:rsidRDefault="00524AA3" w:rsidP="008C4B00">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8C4B00" w:rsidRPr="00DD740C" w:rsidRDefault="008C4B00" w:rsidP="008C4B00">
      <w:pPr>
        <w:pStyle w:val="ListParagraph"/>
        <w:numPr>
          <w:ilvl w:val="0"/>
          <w:numId w:val="5"/>
        </w:numPr>
        <w:rPr>
          <w:rFonts w:ascii="Times New Roman" w:hAnsi="Times New Roman"/>
          <w:sz w:val="24"/>
          <w:szCs w:val="24"/>
        </w:rPr>
      </w:pPr>
      <w:r w:rsidRPr="00DD740C">
        <w:rPr>
          <w:rFonts w:ascii="Times New Roman" w:hAnsi="Times New Roman"/>
          <w:iCs/>
          <w:sz w:val="24"/>
          <w:szCs w:val="24"/>
        </w:rPr>
        <w:t>Listen to your doctor, or else!: medication underuse and overuse and the longevity of Danish diabetes patients</w:t>
      </w:r>
    </w:p>
    <w:p w:rsidR="008C4B00" w:rsidRPr="00DD740C" w:rsidRDefault="008C4B00" w:rsidP="008C4B00">
      <w:pPr>
        <w:pStyle w:val="Heading1"/>
        <w:numPr>
          <w:ilvl w:val="0"/>
          <w:numId w:val="5"/>
        </w:numPr>
        <w:spacing w:before="0" w:beforeAutospacing="0" w:after="0" w:afterAutospacing="0"/>
        <w:rPr>
          <w:b w:val="0"/>
          <w:sz w:val="24"/>
          <w:szCs w:val="24"/>
        </w:rPr>
      </w:pPr>
      <w:r w:rsidRPr="00DD740C">
        <w:rPr>
          <w:b w:val="0"/>
          <w:sz w:val="24"/>
          <w:szCs w:val="24"/>
        </w:rPr>
        <w:t>CVS Health: Promoting Drug Adherence</w:t>
      </w:r>
    </w:p>
    <w:p w:rsidR="00F428E4" w:rsidRPr="00DD740C" w:rsidRDefault="00F428E4" w:rsidP="001032E2">
      <w:pPr>
        <w:spacing w:before="100" w:beforeAutospacing="1" w:after="100" w:afterAutospacing="1"/>
        <w:outlineLvl w:val="0"/>
        <w:rPr>
          <w:rFonts w:ascii="Times New Roman" w:eastAsia="Times New Roman" w:hAnsi="Times New Roman"/>
          <w:bCs/>
          <w:kern w:val="36"/>
          <w:sz w:val="24"/>
          <w:szCs w:val="24"/>
          <w:u w:val="single"/>
        </w:rPr>
      </w:pPr>
      <w:r w:rsidRPr="001032E2">
        <w:rPr>
          <w:rFonts w:ascii="Times New Roman" w:eastAsia="Times New Roman" w:hAnsi="Times New Roman"/>
          <w:bCs/>
          <w:kern w:val="36"/>
          <w:sz w:val="24"/>
          <w:szCs w:val="24"/>
          <w:u w:val="single"/>
        </w:rPr>
        <w:t xml:space="preserve">Health </w:t>
      </w:r>
      <w:r w:rsidRPr="00DD740C">
        <w:rPr>
          <w:rFonts w:ascii="Times New Roman" w:eastAsia="Times New Roman" w:hAnsi="Times New Roman"/>
          <w:bCs/>
          <w:kern w:val="36"/>
          <w:sz w:val="24"/>
          <w:szCs w:val="24"/>
          <w:u w:val="single"/>
        </w:rPr>
        <w:t xml:space="preserve">Insurance </w:t>
      </w:r>
      <w:r w:rsidRPr="001032E2">
        <w:rPr>
          <w:rFonts w:ascii="Times New Roman" w:eastAsia="Times New Roman" w:hAnsi="Times New Roman"/>
          <w:bCs/>
          <w:kern w:val="36"/>
          <w:sz w:val="24"/>
          <w:szCs w:val="24"/>
          <w:u w:val="single"/>
        </w:rPr>
        <w:t>Benefit Design</w:t>
      </w:r>
      <w:r w:rsidRPr="00DD740C">
        <w:rPr>
          <w:rFonts w:ascii="Times New Roman" w:eastAsia="Times New Roman" w:hAnsi="Times New Roman"/>
          <w:bCs/>
          <w:kern w:val="36"/>
          <w:sz w:val="24"/>
          <w:szCs w:val="24"/>
          <w:u w:val="single"/>
        </w:rPr>
        <w:t xml:space="preserve"> </w:t>
      </w:r>
    </w:p>
    <w:p w:rsidR="001032E2" w:rsidRPr="00DD740C" w:rsidRDefault="001032E2" w:rsidP="001032E2">
      <w:pPr>
        <w:spacing w:before="100" w:beforeAutospacing="1" w:after="100" w:afterAutospacing="1"/>
        <w:outlineLvl w:val="0"/>
        <w:rPr>
          <w:rFonts w:ascii="Times New Roman" w:eastAsia="Times New Roman" w:hAnsi="Times New Roman"/>
          <w:sz w:val="24"/>
          <w:szCs w:val="24"/>
        </w:rPr>
      </w:pPr>
      <w:r w:rsidRPr="001032E2">
        <w:rPr>
          <w:rFonts w:ascii="Times New Roman" w:eastAsia="Times New Roman" w:hAnsi="Times New Roman"/>
          <w:sz w:val="24"/>
          <w:szCs w:val="24"/>
        </w:rPr>
        <w:t xml:space="preserve">Why are some health treatments covered by insurance, while others are not? Why do some treatments have higher copays than others? These considerations are a result of how health benefits are designed. </w:t>
      </w:r>
    </w:p>
    <w:p w:rsidR="00AC1080" w:rsidRPr="00DD740C" w:rsidRDefault="00AC1080" w:rsidP="00AC1080">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7E5CED" w:rsidRPr="00DD740C" w:rsidRDefault="00AC1080" w:rsidP="00AC1080">
      <w:pPr>
        <w:pStyle w:val="ListParagraph"/>
        <w:numPr>
          <w:ilvl w:val="0"/>
          <w:numId w:val="7"/>
        </w:numPr>
        <w:rPr>
          <w:rFonts w:ascii="Times New Roman" w:hAnsi="Times New Roman"/>
          <w:sz w:val="24"/>
          <w:szCs w:val="24"/>
        </w:rPr>
      </w:pPr>
      <w:r w:rsidRPr="00DD740C">
        <w:rPr>
          <w:rFonts w:ascii="Times New Roman" w:hAnsi="Times New Roman"/>
          <w:sz w:val="24"/>
          <w:szCs w:val="24"/>
        </w:rPr>
        <w:lastRenderedPageBreak/>
        <w:t xml:space="preserve">Plan choice and adverse selection: </w:t>
      </w:r>
      <w:r w:rsidR="00E5522D" w:rsidRPr="00DD740C">
        <w:rPr>
          <w:rFonts w:ascii="Times New Roman" w:hAnsi="Times New Roman"/>
          <w:sz w:val="24"/>
          <w:szCs w:val="24"/>
        </w:rPr>
        <w:t>should self-insured employers “tax” some of their health plans and subsidize others?</w:t>
      </w:r>
    </w:p>
    <w:p w:rsidR="00151CCA" w:rsidRPr="0058715E" w:rsidRDefault="00E5522D" w:rsidP="0058715E">
      <w:pPr>
        <w:pStyle w:val="ListParagraph"/>
        <w:numPr>
          <w:ilvl w:val="0"/>
          <w:numId w:val="7"/>
        </w:numPr>
        <w:rPr>
          <w:rFonts w:ascii="Times New Roman" w:hAnsi="Times New Roman"/>
          <w:sz w:val="24"/>
          <w:szCs w:val="24"/>
        </w:rPr>
      </w:pPr>
      <w:r w:rsidRPr="00DD740C">
        <w:rPr>
          <w:rFonts w:ascii="Times New Roman" w:hAnsi="Times New Roman"/>
          <w:bCs/>
          <w:sz w:val="24"/>
          <w:szCs w:val="24"/>
        </w:rPr>
        <w:t>Optimal Drug Benefit Design: The Case of Cholesterol-Lowering Therapy</w:t>
      </w:r>
    </w:p>
    <w:p w:rsidR="0058715E" w:rsidRPr="0058715E" w:rsidRDefault="0058715E" w:rsidP="0058715E">
      <w:pPr>
        <w:pStyle w:val="ListParagraph"/>
        <w:rPr>
          <w:rFonts w:ascii="Times New Roman" w:hAnsi="Times New Roman"/>
          <w:sz w:val="24"/>
          <w:szCs w:val="24"/>
        </w:rPr>
      </w:pPr>
    </w:p>
    <w:p w:rsidR="007E53D9" w:rsidRPr="00DD740C" w:rsidRDefault="007E53D9" w:rsidP="00325BE5">
      <w:pPr>
        <w:rPr>
          <w:rFonts w:ascii="Times New Roman" w:hAnsi="Times New Roman"/>
          <w:sz w:val="24"/>
          <w:szCs w:val="24"/>
          <w:u w:val="single"/>
        </w:rPr>
      </w:pPr>
      <w:r w:rsidRPr="00DD740C">
        <w:rPr>
          <w:rFonts w:ascii="Times New Roman" w:hAnsi="Times New Roman"/>
          <w:bCs/>
          <w:sz w:val="24"/>
          <w:szCs w:val="24"/>
          <w:u w:val="single"/>
        </w:rPr>
        <w:t>Pay for performance</w:t>
      </w:r>
      <w:r w:rsidRPr="00DD740C">
        <w:rPr>
          <w:rFonts w:ascii="Times New Roman" w:hAnsi="Times New Roman"/>
          <w:sz w:val="24"/>
          <w:szCs w:val="24"/>
          <w:u w:val="single"/>
        </w:rPr>
        <w:t xml:space="preserve"> </w:t>
      </w:r>
    </w:p>
    <w:p w:rsidR="007E53D9" w:rsidRPr="00DD740C" w:rsidRDefault="007E53D9" w:rsidP="00325BE5">
      <w:pPr>
        <w:rPr>
          <w:rFonts w:ascii="Times New Roman" w:hAnsi="Times New Roman"/>
          <w:sz w:val="24"/>
          <w:szCs w:val="24"/>
        </w:rPr>
      </w:pPr>
    </w:p>
    <w:p w:rsidR="001032E2" w:rsidRPr="00DD740C" w:rsidRDefault="007E53D9" w:rsidP="00325BE5">
      <w:pPr>
        <w:rPr>
          <w:rFonts w:ascii="Times New Roman" w:hAnsi="Times New Roman"/>
          <w:sz w:val="24"/>
          <w:szCs w:val="24"/>
        </w:rPr>
      </w:pPr>
      <w:r w:rsidRPr="00DD740C">
        <w:rPr>
          <w:rFonts w:ascii="Times New Roman" w:hAnsi="Times New Roman"/>
          <w:bCs/>
          <w:sz w:val="24"/>
          <w:szCs w:val="24"/>
        </w:rPr>
        <w:t>Pay for performance</w:t>
      </w:r>
      <w:r w:rsidRPr="00DD740C">
        <w:rPr>
          <w:rFonts w:ascii="Times New Roman" w:hAnsi="Times New Roman"/>
          <w:sz w:val="24"/>
          <w:szCs w:val="24"/>
        </w:rPr>
        <w:t xml:space="preserve"> </w:t>
      </w:r>
      <w:r w:rsidR="009A6C2E" w:rsidRPr="00DD740C">
        <w:rPr>
          <w:rFonts w:ascii="Times New Roman" w:hAnsi="Times New Roman"/>
          <w:sz w:val="24"/>
          <w:szCs w:val="24"/>
        </w:rPr>
        <w:t>in healthcare gives financial incentives to clinicians for better health outcomes. Clinical outcomes, such as longer survival, are too difficult to measure, so pay for performance systems usually measure process outcomes, such as measuring blood pressure, lowering blood pressure, or counseling patients to stop smoking.</w:t>
      </w:r>
    </w:p>
    <w:p w:rsidR="007E53D9" w:rsidRPr="00DD740C" w:rsidRDefault="007E53D9" w:rsidP="00325BE5">
      <w:pPr>
        <w:rPr>
          <w:rFonts w:ascii="Times New Roman" w:hAnsi="Times New Roman"/>
          <w:sz w:val="24"/>
          <w:szCs w:val="24"/>
        </w:rPr>
      </w:pPr>
    </w:p>
    <w:p w:rsidR="007E53D9" w:rsidRPr="00DD740C" w:rsidRDefault="007E53D9" w:rsidP="007E53D9">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AC1080" w:rsidRPr="00DD740C" w:rsidRDefault="00AC1080" w:rsidP="007E53D9">
      <w:pPr>
        <w:pStyle w:val="ListParagraph"/>
        <w:numPr>
          <w:ilvl w:val="0"/>
          <w:numId w:val="6"/>
        </w:numPr>
        <w:rPr>
          <w:rFonts w:ascii="Times New Roman" w:hAnsi="Times New Roman"/>
          <w:sz w:val="24"/>
          <w:szCs w:val="24"/>
        </w:rPr>
      </w:pPr>
      <w:r w:rsidRPr="00DD740C">
        <w:rPr>
          <w:rFonts w:ascii="Times New Roman" w:hAnsi="Times New Roman"/>
          <w:sz w:val="24"/>
          <w:szCs w:val="24"/>
        </w:rPr>
        <w:t>Performance Pay for Massachusetts General Orthopedic Associates Physicians</w:t>
      </w:r>
    </w:p>
    <w:p w:rsidR="00AC1080" w:rsidRPr="00DD740C" w:rsidRDefault="00AC1080" w:rsidP="00AC1080">
      <w:pPr>
        <w:pStyle w:val="ListParagraph"/>
        <w:numPr>
          <w:ilvl w:val="0"/>
          <w:numId w:val="6"/>
        </w:numPr>
        <w:rPr>
          <w:rFonts w:ascii="Times New Roman" w:hAnsi="Times New Roman"/>
          <w:sz w:val="24"/>
          <w:szCs w:val="24"/>
        </w:rPr>
      </w:pPr>
      <w:r w:rsidRPr="00DD740C">
        <w:rPr>
          <w:rFonts w:ascii="Times New Roman" w:hAnsi="Times New Roman"/>
          <w:sz w:val="24"/>
          <w:szCs w:val="24"/>
        </w:rPr>
        <w:t>Incentives in HMOs</w:t>
      </w:r>
    </w:p>
    <w:p w:rsidR="00AC1080" w:rsidRPr="00DD740C" w:rsidRDefault="00AC1080" w:rsidP="00AC1080">
      <w:pPr>
        <w:pStyle w:val="ListParagraph"/>
        <w:numPr>
          <w:ilvl w:val="0"/>
          <w:numId w:val="6"/>
        </w:numPr>
        <w:rPr>
          <w:rFonts w:ascii="Times New Roman" w:hAnsi="Times New Roman"/>
          <w:sz w:val="24"/>
          <w:szCs w:val="24"/>
        </w:rPr>
      </w:pPr>
      <w:r w:rsidRPr="00DD740C">
        <w:rPr>
          <w:rFonts w:ascii="Times New Roman" w:hAnsi="Times New Roman"/>
          <w:sz w:val="24"/>
          <w:szCs w:val="24"/>
        </w:rPr>
        <w:t>Do doctors practice defensive medicine?</w:t>
      </w:r>
    </w:p>
    <w:p w:rsidR="001032E2" w:rsidRPr="00DD740C" w:rsidRDefault="001032E2" w:rsidP="00325BE5">
      <w:pPr>
        <w:rPr>
          <w:rFonts w:ascii="Times New Roman" w:hAnsi="Times New Roman"/>
          <w:sz w:val="24"/>
          <w:szCs w:val="24"/>
        </w:rPr>
      </w:pPr>
    </w:p>
    <w:p w:rsidR="007E53D9" w:rsidRPr="00DD740C" w:rsidRDefault="007E53D9" w:rsidP="007E53D9">
      <w:pPr>
        <w:rPr>
          <w:rFonts w:ascii="Times New Roman" w:eastAsia="Times New Roman" w:hAnsi="Times New Roman"/>
          <w:bCs/>
          <w:kern w:val="36"/>
          <w:sz w:val="24"/>
          <w:szCs w:val="24"/>
          <w:u w:val="single"/>
        </w:rPr>
      </w:pPr>
      <w:r w:rsidRPr="00DD740C">
        <w:rPr>
          <w:rFonts w:ascii="Times New Roman" w:hAnsi="Times New Roman"/>
          <w:bCs/>
          <w:sz w:val="24"/>
          <w:szCs w:val="24"/>
          <w:u w:val="single"/>
        </w:rPr>
        <w:t>Drug pricing and reimbursement</w:t>
      </w:r>
    </w:p>
    <w:p w:rsidR="007E53D9" w:rsidRPr="00DD740C" w:rsidRDefault="007E53D9" w:rsidP="00325BE5">
      <w:pPr>
        <w:rPr>
          <w:rFonts w:ascii="Times New Roman" w:hAnsi="Times New Roman"/>
          <w:sz w:val="24"/>
          <w:szCs w:val="24"/>
        </w:rPr>
      </w:pPr>
    </w:p>
    <w:p w:rsidR="00044B24" w:rsidRPr="00DD740C" w:rsidRDefault="00044B24" w:rsidP="00044B24">
      <w:pPr>
        <w:rPr>
          <w:rStyle w:val="tgc"/>
          <w:rFonts w:ascii="Times New Roman" w:hAnsi="Times New Roman"/>
          <w:sz w:val="24"/>
          <w:szCs w:val="24"/>
        </w:rPr>
      </w:pPr>
      <w:r w:rsidRPr="00DD740C">
        <w:rPr>
          <w:rStyle w:val="tgc"/>
          <w:rFonts w:ascii="Times New Roman" w:hAnsi="Times New Roman"/>
          <w:sz w:val="24"/>
          <w:szCs w:val="24"/>
        </w:rPr>
        <w:t>Selected cases and other materials:</w:t>
      </w:r>
    </w:p>
    <w:p w:rsidR="00044B24" w:rsidRPr="00DD740C" w:rsidRDefault="00044B24" w:rsidP="00044B24">
      <w:pPr>
        <w:pStyle w:val="Heading1"/>
        <w:numPr>
          <w:ilvl w:val="0"/>
          <w:numId w:val="8"/>
        </w:numPr>
        <w:spacing w:before="0" w:beforeAutospacing="0" w:after="0" w:afterAutospacing="0"/>
        <w:rPr>
          <w:b w:val="0"/>
          <w:sz w:val="24"/>
          <w:szCs w:val="24"/>
        </w:rPr>
      </w:pPr>
      <w:r w:rsidRPr="00DD740C">
        <w:rPr>
          <w:b w:val="0"/>
          <w:sz w:val="24"/>
          <w:szCs w:val="24"/>
        </w:rPr>
        <w:t>Merck: Pricing Gardasil</w:t>
      </w:r>
    </w:p>
    <w:p w:rsidR="00044B24" w:rsidRPr="00DD740C" w:rsidRDefault="00044B24" w:rsidP="00044B24">
      <w:pPr>
        <w:pStyle w:val="ListParagraph"/>
        <w:numPr>
          <w:ilvl w:val="0"/>
          <w:numId w:val="8"/>
        </w:numPr>
        <w:autoSpaceDE w:val="0"/>
        <w:autoSpaceDN w:val="0"/>
        <w:adjustRightInd w:val="0"/>
        <w:rPr>
          <w:rFonts w:ascii="Times New Roman" w:hAnsi="Times New Roman"/>
          <w:color w:val="373436"/>
          <w:sz w:val="24"/>
          <w:szCs w:val="24"/>
        </w:rPr>
      </w:pPr>
      <w:r w:rsidRPr="00DD740C">
        <w:rPr>
          <w:rFonts w:ascii="Times New Roman" w:hAnsi="Times New Roman"/>
          <w:color w:val="373436"/>
          <w:sz w:val="24"/>
          <w:szCs w:val="24"/>
        </w:rPr>
        <w:t>Did CMS’ Functional Equivalence Decision Result in Equitable Payments?</w:t>
      </w:r>
    </w:p>
    <w:p w:rsidR="00D87833" w:rsidRPr="00DD740C" w:rsidRDefault="00D87833" w:rsidP="00D87833">
      <w:pPr>
        <w:rPr>
          <w:rStyle w:val="text-with-line-breaks"/>
          <w:rFonts w:ascii="Times New Roman" w:hAnsi="Times New Roman"/>
          <w:sz w:val="24"/>
          <w:szCs w:val="24"/>
        </w:rPr>
      </w:pPr>
    </w:p>
    <w:p w:rsidR="00DD740C" w:rsidRPr="00DD740C" w:rsidRDefault="00DD740C" w:rsidP="00DD740C">
      <w:pPr>
        <w:pStyle w:val="ListParagraph"/>
        <w:numPr>
          <w:ilvl w:val="0"/>
          <w:numId w:val="9"/>
        </w:numPr>
        <w:rPr>
          <w:rStyle w:val="tgc"/>
          <w:rFonts w:ascii="Times New Roman" w:hAnsi="Times New Roman"/>
          <w:b/>
          <w:bCs/>
          <w:sz w:val="24"/>
          <w:szCs w:val="24"/>
        </w:rPr>
      </w:pPr>
      <w:r w:rsidRPr="00DD740C">
        <w:rPr>
          <w:rStyle w:val="tgc"/>
          <w:rFonts w:ascii="Times New Roman" w:hAnsi="Times New Roman"/>
          <w:b/>
          <w:bCs/>
          <w:sz w:val="24"/>
          <w:szCs w:val="24"/>
        </w:rPr>
        <w:t xml:space="preserve">More detailed descriptions of some of the </w:t>
      </w:r>
      <w:r w:rsidR="00A2505E">
        <w:rPr>
          <w:rStyle w:val="tgc"/>
          <w:rFonts w:ascii="Times New Roman" w:hAnsi="Times New Roman"/>
          <w:b/>
          <w:bCs/>
          <w:sz w:val="24"/>
          <w:szCs w:val="24"/>
        </w:rPr>
        <w:t>cases and other materials</w:t>
      </w:r>
    </w:p>
    <w:p w:rsidR="00D87833" w:rsidRPr="00DD740C" w:rsidRDefault="00D87833" w:rsidP="00D87833">
      <w:pPr>
        <w:pStyle w:val="Heading1"/>
        <w:rPr>
          <w:b w:val="0"/>
          <w:i/>
          <w:sz w:val="24"/>
          <w:szCs w:val="24"/>
        </w:rPr>
      </w:pPr>
      <w:r w:rsidRPr="00DD740C">
        <w:rPr>
          <w:b w:val="0"/>
          <w:i/>
          <w:sz w:val="24"/>
          <w:szCs w:val="24"/>
        </w:rPr>
        <w:t>Developing and Marketing a Blockbuster Drug: Lessons from Eli Lilly's Experience with Prozac</w:t>
      </w:r>
    </w:p>
    <w:p w:rsidR="00D87833" w:rsidRPr="00DD740C" w:rsidRDefault="00D87833" w:rsidP="00D87833">
      <w:pPr>
        <w:pStyle w:val="NormalWeb"/>
        <w:ind w:left="720"/>
      </w:pPr>
      <w:r w:rsidRPr="00DD740C">
        <w:t xml:space="preserve">In 1987, </w:t>
      </w:r>
      <w:r w:rsidRPr="00DD740C">
        <w:rPr>
          <w:b/>
        </w:rPr>
        <w:t>Eli Lilly</w:t>
      </w:r>
      <w:r w:rsidRPr="00DD740C">
        <w:t xml:space="preserve"> began to market Prozac, the first available drug in a new class of psychotropic drugs called selective serotonin reuptake inhibitors (SSRIs). Prozac, and other SSRIs that followed it, revolutionized the treatment of depression and changed the philosophy and practice of psychiatry. It allowed depression to be treated by </w:t>
      </w:r>
      <w:proofErr w:type="spellStart"/>
      <w:r w:rsidRPr="00DD740C">
        <w:t>nonpsychiatrist</w:t>
      </w:r>
      <w:proofErr w:type="spellEnd"/>
      <w:r w:rsidRPr="00DD740C">
        <w:t xml:space="preserve"> physicians, substantially increased the number of depressed patients who had access to treatment, and lowered the cost of treating depression and other mental illnesses. Prozac quickly became the biggest selling drug in the history of the pharmaceutical industry. Explores the history of Prozac and the factors that combined to make it the best-selling drug of all time. Provides a brief history of depression and the theories that led some scientists to pursue SSRIs. Covers Lilly's uncertain development of Prozac, the thoughtful marketing that went into the launch, and the company's post-launch marketing strategies as the drug became widely used. Emphasizes the management difficulties, including product lawsuits and patent expirations, generated by blockbuster drugs.</w:t>
      </w:r>
    </w:p>
    <w:p w:rsidR="00151CCA" w:rsidRPr="0058715E" w:rsidRDefault="00D87833" w:rsidP="0058715E">
      <w:pPr>
        <w:pStyle w:val="Heading3"/>
        <w:spacing w:line="240" w:lineRule="auto"/>
        <w:ind w:left="720"/>
        <w:rPr>
          <w:rFonts w:ascii="Times New Roman" w:hAnsi="Times New Roman" w:cs="Times New Roman"/>
          <w:color w:val="auto"/>
        </w:rPr>
      </w:pPr>
      <w:r w:rsidRPr="00DD740C">
        <w:rPr>
          <w:rFonts w:ascii="Times New Roman" w:hAnsi="Times New Roman" w:cs="Times New Roman"/>
          <w:color w:val="auto"/>
        </w:rPr>
        <w:lastRenderedPageBreak/>
        <w:t>Learning objective:  To look at the process of developing and launching a pharmaceutical drug, especially one that achieves blockbuster status; to help students identify and discuss the issues to consider in launching and supporting a new drug, from initial development to patent expiration when the drug becomes a generic and loses most of its market; and to analyze Lilly's choice and actions in launching Prozac, considering the factors that helped turn Prozac into a blockbuster drug.</w:t>
      </w:r>
    </w:p>
    <w:p w:rsidR="00D87833" w:rsidRPr="00DD740C" w:rsidRDefault="00D87833" w:rsidP="00D87833">
      <w:pPr>
        <w:pStyle w:val="Heading1"/>
        <w:rPr>
          <w:b w:val="0"/>
          <w:i/>
          <w:sz w:val="24"/>
          <w:szCs w:val="24"/>
        </w:rPr>
      </w:pPr>
      <w:r w:rsidRPr="00DD740C">
        <w:rPr>
          <w:b w:val="0"/>
          <w:i/>
          <w:sz w:val="24"/>
          <w:szCs w:val="24"/>
        </w:rPr>
        <w:t>Merck: Pricing Gardasil</w:t>
      </w:r>
    </w:p>
    <w:p w:rsidR="00D87833" w:rsidRPr="00DD740C" w:rsidRDefault="00D87833" w:rsidP="00D87833">
      <w:pPr>
        <w:pStyle w:val="NormalWeb"/>
        <w:ind w:left="720"/>
      </w:pPr>
      <w:r w:rsidRPr="00DD740C">
        <w:t xml:space="preserve">Allison Watkins, senior director of </w:t>
      </w:r>
      <w:r w:rsidRPr="00DD740C">
        <w:rPr>
          <w:b/>
        </w:rPr>
        <w:t>Merck</w:t>
      </w:r>
      <w:r w:rsidRPr="00DD740C">
        <w:t>'s Vaccines Division, needed to decide on the pricing of Gardasil, Merck's newest vaccine and one of the company's most important product launches of the year. The outside consulting firm she had hired to recommend a price for Gardasil had suggested a price of $120 per dose (or $360 per person, as each person required three doses over six months to achieve adequate immunity). The Gardasil marketing team disagreed about this recommended price; some thought it was clearly too high, whereas others said it was too low. The latter group argued that Merck would be missing a major opportunity by setting the price at such a low level. Watkins now needed to decide whether to follow the consulting firm's recommendation or to set a different price.</w:t>
      </w:r>
    </w:p>
    <w:p w:rsidR="00D87833" w:rsidRPr="00DD740C" w:rsidRDefault="00D87833" w:rsidP="00D87833">
      <w:pPr>
        <w:pStyle w:val="Heading3"/>
        <w:spacing w:line="240" w:lineRule="auto"/>
        <w:ind w:left="720"/>
        <w:rPr>
          <w:rFonts w:ascii="Times New Roman" w:hAnsi="Times New Roman" w:cs="Times New Roman"/>
          <w:color w:val="auto"/>
        </w:rPr>
      </w:pPr>
      <w:r w:rsidRPr="00DD740C">
        <w:rPr>
          <w:rFonts w:ascii="Times New Roman" w:hAnsi="Times New Roman" w:cs="Times New Roman"/>
          <w:color w:val="auto"/>
        </w:rPr>
        <w:t>Learning objective:  The case highlights the complexity and issues around pricing in the pharmaceutical industry. To decide on the price of Merck's new vaccine, students will work through product economics and be introduced to the role of economic modeling in determining appropriate prices in the biomedical industry. The case is unique because it gives students an opportunity to calculate a cost per quality adjusted life year (cost per QALY), and in the process discover the power and limitations of such an analysis.</w:t>
      </w:r>
    </w:p>
    <w:p w:rsidR="00D87833" w:rsidRPr="00DD740C" w:rsidRDefault="00D87833" w:rsidP="00D87833">
      <w:pPr>
        <w:rPr>
          <w:rFonts w:ascii="Times New Roman" w:hAnsi="Times New Roman"/>
          <w:sz w:val="24"/>
          <w:szCs w:val="24"/>
        </w:rPr>
      </w:pPr>
    </w:p>
    <w:p w:rsidR="00D87833" w:rsidRPr="00DD740C" w:rsidRDefault="00D87833" w:rsidP="00D87833">
      <w:pPr>
        <w:autoSpaceDE w:val="0"/>
        <w:autoSpaceDN w:val="0"/>
        <w:adjustRightInd w:val="0"/>
        <w:rPr>
          <w:rFonts w:ascii="Times New Roman" w:hAnsi="Times New Roman"/>
          <w:i/>
          <w:color w:val="373436"/>
          <w:sz w:val="24"/>
          <w:szCs w:val="24"/>
        </w:rPr>
      </w:pPr>
      <w:r w:rsidRPr="00DD740C">
        <w:rPr>
          <w:rFonts w:ascii="Times New Roman" w:hAnsi="Times New Roman"/>
          <w:i/>
          <w:color w:val="373436"/>
          <w:sz w:val="24"/>
          <w:szCs w:val="24"/>
        </w:rPr>
        <w:t>Did CMS’ Functional Equivalence Decision Result in Equitable Payments?</w:t>
      </w:r>
    </w:p>
    <w:p w:rsidR="00D87833" w:rsidRPr="00DD740C" w:rsidRDefault="00D87833" w:rsidP="00D87833">
      <w:pPr>
        <w:autoSpaceDE w:val="0"/>
        <w:autoSpaceDN w:val="0"/>
        <w:adjustRightInd w:val="0"/>
        <w:rPr>
          <w:rFonts w:ascii="Times New Roman" w:hAnsi="Times New Roman"/>
          <w:color w:val="373436"/>
          <w:sz w:val="24"/>
          <w:szCs w:val="24"/>
        </w:rPr>
      </w:pPr>
    </w:p>
    <w:p w:rsidR="00D87833" w:rsidRPr="00DD740C" w:rsidRDefault="00D87833" w:rsidP="00D87833">
      <w:pPr>
        <w:autoSpaceDE w:val="0"/>
        <w:autoSpaceDN w:val="0"/>
        <w:adjustRightInd w:val="0"/>
        <w:ind w:left="720"/>
        <w:rPr>
          <w:rFonts w:ascii="Times New Roman" w:hAnsi="Times New Roman"/>
          <w:sz w:val="24"/>
          <w:szCs w:val="24"/>
        </w:rPr>
      </w:pPr>
      <w:r w:rsidRPr="00DD740C">
        <w:rPr>
          <w:rFonts w:ascii="Times New Roman" w:hAnsi="Times New Roman"/>
          <w:color w:val="373436"/>
          <w:sz w:val="24"/>
          <w:szCs w:val="24"/>
        </w:rPr>
        <w:t xml:space="preserve">In late 2002, the Center for Medicare and Medicaid Services (CMS) decided that it would pay half as much for </w:t>
      </w:r>
      <w:r w:rsidRPr="00DD740C">
        <w:rPr>
          <w:rFonts w:ascii="Times New Roman" w:hAnsi="Times New Roman"/>
          <w:b/>
          <w:color w:val="373436"/>
          <w:sz w:val="24"/>
          <w:szCs w:val="24"/>
        </w:rPr>
        <w:t>Amgen’s new drug</w:t>
      </w:r>
      <w:r w:rsidRPr="00DD740C">
        <w:rPr>
          <w:rFonts w:ascii="Times New Roman" w:hAnsi="Times New Roman"/>
          <w:color w:val="373436"/>
          <w:sz w:val="24"/>
          <w:szCs w:val="24"/>
        </w:rPr>
        <w:t xml:space="preserve"> for chemotherapy-related anemia in cancer patients, </w:t>
      </w:r>
      <w:proofErr w:type="spellStart"/>
      <w:r w:rsidRPr="00DD740C">
        <w:rPr>
          <w:rFonts w:ascii="Times New Roman" w:hAnsi="Times New Roman"/>
          <w:color w:val="373436"/>
          <w:sz w:val="24"/>
          <w:szCs w:val="24"/>
        </w:rPr>
        <w:t>darbepoetin</w:t>
      </w:r>
      <w:proofErr w:type="spellEnd"/>
      <w:r w:rsidRPr="00DD740C">
        <w:rPr>
          <w:rFonts w:ascii="Times New Roman" w:hAnsi="Times New Roman"/>
          <w:color w:val="373436"/>
          <w:sz w:val="24"/>
          <w:szCs w:val="24"/>
        </w:rPr>
        <w:t xml:space="preserve"> alfa (trade name: </w:t>
      </w:r>
      <w:proofErr w:type="spellStart"/>
      <w:r w:rsidRPr="00DD740C">
        <w:rPr>
          <w:rFonts w:ascii="Times New Roman" w:hAnsi="Times New Roman"/>
          <w:color w:val="373436"/>
          <w:sz w:val="24"/>
          <w:szCs w:val="24"/>
        </w:rPr>
        <w:t>Aranesp</w:t>
      </w:r>
      <w:proofErr w:type="spellEnd"/>
      <w:r w:rsidRPr="00DD740C">
        <w:rPr>
          <w:rFonts w:ascii="Times New Roman" w:hAnsi="Times New Roman"/>
          <w:color w:val="373436"/>
          <w:sz w:val="24"/>
          <w:szCs w:val="24"/>
        </w:rPr>
        <w:t xml:space="preserve">), as it would have paid under its standard reimbursement rules. According to CMS, the new drug was “functionally equivalent” to an </w:t>
      </w:r>
      <w:r w:rsidRPr="00DD740C">
        <w:rPr>
          <w:rFonts w:ascii="Times New Roman" w:hAnsi="Times New Roman"/>
          <w:b/>
          <w:color w:val="373436"/>
          <w:sz w:val="24"/>
          <w:szCs w:val="24"/>
        </w:rPr>
        <w:t>older drug</w:t>
      </w:r>
      <w:r w:rsidRPr="00DD740C">
        <w:rPr>
          <w:rFonts w:ascii="Times New Roman" w:hAnsi="Times New Roman"/>
          <w:color w:val="373436"/>
          <w:sz w:val="24"/>
          <w:szCs w:val="24"/>
        </w:rPr>
        <w:t>–</w:t>
      </w:r>
      <w:proofErr w:type="spellStart"/>
      <w:r w:rsidRPr="00DD740C">
        <w:rPr>
          <w:rFonts w:ascii="Times New Roman" w:hAnsi="Times New Roman"/>
          <w:color w:val="373436"/>
          <w:sz w:val="24"/>
          <w:szCs w:val="24"/>
        </w:rPr>
        <w:t>epoetin</w:t>
      </w:r>
      <w:proofErr w:type="spellEnd"/>
      <w:r w:rsidRPr="00DD740C">
        <w:rPr>
          <w:rFonts w:ascii="Times New Roman" w:hAnsi="Times New Roman"/>
          <w:color w:val="373436"/>
          <w:sz w:val="24"/>
          <w:szCs w:val="24"/>
        </w:rPr>
        <w:t xml:space="preserve"> alfa (trade name: Procrit), </w:t>
      </w:r>
      <w:r w:rsidRPr="00DD740C">
        <w:rPr>
          <w:rFonts w:ascii="Times New Roman" w:hAnsi="Times New Roman"/>
          <w:b/>
          <w:color w:val="373436"/>
          <w:sz w:val="24"/>
          <w:szCs w:val="24"/>
        </w:rPr>
        <w:t>marketed by Ortho Biotech, a division of Johnson &amp; Johnson</w:t>
      </w:r>
      <w:r w:rsidRPr="00DD740C">
        <w:rPr>
          <w:rFonts w:ascii="Times New Roman" w:hAnsi="Times New Roman"/>
          <w:color w:val="373436"/>
          <w:sz w:val="24"/>
          <w:szCs w:val="24"/>
        </w:rPr>
        <w:t>, approved by the FDA in June 1989–and the payment reduction was necessary to achieve “equitable payments.”  The decision may have allowed a more equitable or efficient use of Medicare funds under certain assumptions, but not under other (perhaps equally plausible) assumptions.</w:t>
      </w:r>
      <w:r w:rsidRPr="00DD740C">
        <w:rPr>
          <w:rFonts w:ascii="Times New Roman" w:hAnsi="Times New Roman"/>
          <w:sz w:val="24"/>
          <w:szCs w:val="24"/>
        </w:rPr>
        <w:t xml:space="preserve"> </w:t>
      </w:r>
    </w:p>
    <w:p w:rsidR="00D87833" w:rsidRPr="00DD740C" w:rsidRDefault="00D87833" w:rsidP="00D87833">
      <w:pPr>
        <w:autoSpaceDE w:val="0"/>
        <w:autoSpaceDN w:val="0"/>
        <w:adjustRightInd w:val="0"/>
        <w:ind w:left="720"/>
        <w:rPr>
          <w:rFonts w:ascii="Times New Roman" w:hAnsi="Times New Roman"/>
          <w:sz w:val="24"/>
          <w:szCs w:val="24"/>
        </w:rPr>
      </w:pPr>
    </w:p>
    <w:p w:rsidR="00D87833" w:rsidRPr="00DD740C" w:rsidRDefault="00D87833" w:rsidP="00D87833">
      <w:pPr>
        <w:autoSpaceDE w:val="0"/>
        <w:autoSpaceDN w:val="0"/>
        <w:adjustRightInd w:val="0"/>
        <w:ind w:left="720"/>
        <w:rPr>
          <w:rFonts w:ascii="Times New Roman" w:hAnsi="Times New Roman"/>
          <w:bCs/>
          <w:iCs/>
          <w:color w:val="373436"/>
          <w:sz w:val="24"/>
          <w:szCs w:val="24"/>
        </w:rPr>
      </w:pPr>
      <w:r w:rsidRPr="00DD740C">
        <w:rPr>
          <w:rFonts w:ascii="Times New Roman" w:hAnsi="Times New Roman"/>
          <w:sz w:val="24"/>
          <w:szCs w:val="24"/>
        </w:rPr>
        <w:t xml:space="preserve">Learning objective:  To help students understand (1) how </w:t>
      </w:r>
      <w:r w:rsidRPr="00DD740C">
        <w:rPr>
          <w:rFonts w:ascii="Times New Roman" w:hAnsi="Times New Roman"/>
          <w:bCs/>
          <w:iCs/>
          <w:color w:val="373436"/>
          <w:sz w:val="24"/>
          <w:szCs w:val="24"/>
        </w:rPr>
        <w:t xml:space="preserve">CMS generally establishes prices for both old and new drugs under the Outpatient Prospective Payment System; (2) how and why CMS deviated from its standard procedure in establishing the price of </w:t>
      </w:r>
      <w:proofErr w:type="spellStart"/>
      <w:r w:rsidRPr="00DD740C">
        <w:rPr>
          <w:rFonts w:ascii="Times New Roman" w:hAnsi="Times New Roman"/>
          <w:bCs/>
          <w:iCs/>
          <w:color w:val="373436"/>
          <w:sz w:val="24"/>
          <w:szCs w:val="24"/>
        </w:rPr>
        <w:t>Aranesp</w:t>
      </w:r>
      <w:proofErr w:type="spellEnd"/>
      <w:r w:rsidRPr="00DD740C">
        <w:rPr>
          <w:rFonts w:ascii="Times New Roman" w:hAnsi="Times New Roman"/>
          <w:bCs/>
          <w:iCs/>
          <w:color w:val="373436"/>
          <w:sz w:val="24"/>
          <w:szCs w:val="24"/>
        </w:rPr>
        <w:t>; and (3) the potential benefits and risks of the functional equivalence decision.</w:t>
      </w:r>
    </w:p>
    <w:p w:rsidR="0058715E" w:rsidRDefault="0058715E">
      <w:pPr>
        <w:spacing w:after="160" w:line="259" w:lineRule="auto"/>
        <w:rPr>
          <w:rFonts w:ascii="Times New Roman" w:eastAsia="Times New Roman" w:hAnsi="Times New Roman"/>
          <w:bCs/>
          <w:i/>
          <w:kern w:val="36"/>
          <w:sz w:val="24"/>
          <w:szCs w:val="24"/>
        </w:rPr>
      </w:pPr>
      <w:r>
        <w:rPr>
          <w:b/>
          <w:i/>
          <w:sz w:val="24"/>
          <w:szCs w:val="24"/>
        </w:rPr>
        <w:br w:type="page"/>
      </w:r>
    </w:p>
    <w:p w:rsidR="00D87833" w:rsidRPr="00DD740C" w:rsidRDefault="00D87833" w:rsidP="00D87833">
      <w:pPr>
        <w:pStyle w:val="Heading1"/>
        <w:rPr>
          <w:b w:val="0"/>
          <w:i/>
          <w:sz w:val="24"/>
          <w:szCs w:val="24"/>
        </w:rPr>
      </w:pPr>
      <w:proofErr w:type="spellStart"/>
      <w:r w:rsidRPr="00DD740C">
        <w:rPr>
          <w:b w:val="0"/>
          <w:i/>
          <w:sz w:val="24"/>
          <w:szCs w:val="24"/>
        </w:rPr>
        <w:lastRenderedPageBreak/>
        <w:t>Exubera</w:t>
      </w:r>
      <w:proofErr w:type="spellEnd"/>
      <w:r w:rsidRPr="00DD740C">
        <w:rPr>
          <w:b w:val="0"/>
          <w:i/>
          <w:sz w:val="24"/>
          <w:szCs w:val="24"/>
        </w:rPr>
        <w:t xml:space="preserve"> and NICE</w:t>
      </w:r>
    </w:p>
    <w:p w:rsidR="00D87833" w:rsidRPr="00DD740C" w:rsidRDefault="00D87833" w:rsidP="00D87833">
      <w:pPr>
        <w:pStyle w:val="NormalWeb"/>
        <w:ind w:left="720"/>
      </w:pPr>
      <w:r w:rsidRPr="00DD740C">
        <w:t xml:space="preserve">Historically, the biggest obstacle that healthcare innovators, such as pharmaceutical and medical device manufacturers, needed to overcome on their way to market was securing approval by the U.S. Food &amp; Drug Administration (FDA) or other international regulatory authorities. However, in the last decade, a new (sometimes even more challenging) hurdle had to be cleared: insurance coverage and reimbursement. Payers--either public payers, such as Medicare in the U.S. and the National Health Services (NHS) in the U.K., or private commercial payers, such as Blue Cross/Blue Shield and UnitedHealth Group--could deny coverage for a technology that had received regulatory approval if they determined that the supporting evidence did not adequately demonstrate that the technology was superior to existing treatment alternatives that were already being reimbursed. This had the potential to create a potentially adversarial relationship between payers and innovators in cases where they had conflicting interpretations of the evidence regarding the cost, benefits, and risks of new technologies. The challenges to innovators in managing this conflict are illustrated in this case study by an example: the 2006 decision by the U.K.'s NHS to deny coverage for </w:t>
      </w:r>
      <w:r w:rsidRPr="00DD740C">
        <w:rPr>
          <w:b/>
        </w:rPr>
        <w:t>Pfizer</w:t>
      </w:r>
      <w:r w:rsidRPr="00DD740C">
        <w:t xml:space="preserve">’s drug </w:t>
      </w:r>
      <w:proofErr w:type="spellStart"/>
      <w:r w:rsidRPr="00DD740C">
        <w:t>Exubera</w:t>
      </w:r>
      <w:proofErr w:type="spellEnd"/>
      <w:r w:rsidRPr="00DD740C">
        <w:t>, a new form of inhaled insulin.</w:t>
      </w:r>
    </w:p>
    <w:p w:rsidR="00D87833" w:rsidRPr="00DD740C" w:rsidRDefault="00D87833" w:rsidP="00D87833">
      <w:pPr>
        <w:pStyle w:val="Heading3"/>
        <w:spacing w:line="240" w:lineRule="auto"/>
        <w:ind w:left="720"/>
        <w:rPr>
          <w:rFonts w:ascii="Times New Roman" w:hAnsi="Times New Roman" w:cs="Times New Roman"/>
          <w:color w:val="auto"/>
        </w:rPr>
      </w:pPr>
      <w:r w:rsidRPr="00DD740C">
        <w:rPr>
          <w:rFonts w:ascii="Times New Roman" w:hAnsi="Times New Roman" w:cs="Times New Roman"/>
          <w:color w:val="auto"/>
        </w:rPr>
        <w:t xml:space="preserve">Learning objective:  The learning objectives of this case are to help readers (1) evaluate the pros and cons associated with the role </w:t>
      </w:r>
      <w:proofErr w:type="spellStart"/>
      <w:r w:rsidRPr="00DD740C">
        <w:rPr>
          <w:rFonts w:ascii="Times New Roman" w:hAnsi="Times New Roman" w:cs="Times New Roman"/>
          <w:color w:val="auto"/>
        </w:rPr>
        <w:t>payers</w:t>
      </w:r>
      <w:proofErr w:type="spellEnd"/>
      <w:r w:rsidRPr="00DD740C">
        <w:rPr>
          <w:rFonts w:ascii="Times New Roman" w:hAnsi="Times New Roman" w:cs="Times New Roman"/>
          <w:color w:val="auto"/>
        </w:rPr>
        <w:t xml:space="preserve"> are increasingly playing in the adoption of new technologies; and (2) consider the arguments for and against the requirement faced by companies to collect cost effectiveness data in their clinical trials.</w:t>
      </w:r>
    </w:p>
    <w:p w:rsidR="00D87833" w:rsidRPr="00DD740C" w:rsidRDefault="00D87833" w:rsidP="00D87833">
      <w:pPr>
        <w:pStyle w:val="Heading1"/>
        <w:rPr>
          <w:b w:val="0"/>
          <w:i/>
          <w:sz w:val="24"/>
          <w:szCs w:val="24"/>
        </w:rPr>
      </w:pPr>
      <w:r w:rsidRPr="00DD740C">
        <w:rPr>
          <w:b w:val="0"/>
          <w:i/>
          <w:sz w:val="24"/>
          <w:szCs w:val="24"/>
        </w:rPr>
        <w:t>Plavix: Drugs in the Age of Personalized Medicine</w:t>
      </w:r>
    </w:p>
    <w:p w:rsidR="00D87833" w:rsidRPr="00DD740C" w:rsidRDefault="00D87833" w:rsidP="00D87833">
      <w:pPr>
        <w:pStyle w:val="NormalWeb"/>
        <w:ind w:left="720"/>
      </w:pPr>
      <w:r w:rsidRPr="00DD740C">
        <w:t xml:space="preserve">Plavix, one of the world's </w:t>
      </w:r>
      <w:proofErr w:type="spellStart"/>
      <w:r w:rsidRPr="00DD740C">
        <w:t>best selling</w:t>
      </w:r>
      <w:proofErr w:type="spellEnd"/>
      <w:r w:rsidRPr="00DD740C">
        <w:t xml:space="preserve"> drugs in 2010, appears to have a limited future. Its patent was due to expire soon and recently new data had been discovered which indicated that a small subset of the population would be at risk for stroke, heart attack or even death if they took </w:t>
      </w:r>
      <w:proofErr w:type="spellStart"/>
      <w:r w:rsidRPr="00DD740C">
        <w:t>PIavix</w:t>
      </w:r>
      <w:proofErr w:type="spellEnd"/>
      <w:r w:rsidRPr="00DD740C">
        <w:t xml:space="preserve">. As a </w:t>
      </w:r>
      <w:proofErr w:type="gramStart"/>
      <w:r w:rsidRPr="00DD740C">
        <w:t>result</w:t>
      </w:r>
      <w:proofErr w:type="gramEnd"/>
      <w:r w:rsidRPr="00DD740C">
        <w:t xml:space="preserve"> the FDA had added a black box warning--the agency's most severe--to Plavix's label in 2010. In addition, it had been discovered that the common combination of Plavix and Prilosec, an over-the-counter drug, could adversely affect patients. Finally, Plavix faced new competition from two new drugs with different mechanisms of action. This case reviews the recent history of Plavix in greater detail to encourage a discussion of the following questions: How might the current manufacturers of Plavix handle these emerging threats to their leading blockbuster? How might Plavix's potential competitors utilize Plavix's mixed history to their advantage? How should genotyping be integrated into the clinical care of patients in the light of emerging knowledge?</w:t>
      </w:r>
    </w:p>
    <w:p w:rsidR="00D87833" w:rsidRPr="00DD740C" w:rsidRDefault="00D87833" w:rsidP="00D87833">
      <w:pPr>
        <w:pStyle w:val="Heading3"/>
        <w:spacing w:line="240" w:lineRule="auto"/>
        <w:ind w:left="720"/>
        <w:rPr>
          <w:rFonts w:ascii="Times New Roman" w:hAnsi="Times New Roman" w:cs="Times New Roman"/>
          <w:color w:val="auto"/>
        </w:rPr>
      </w:pPr>
      <w:r w:rsidRPr="00DD740C">
        <w:rPr>
          <w:rFonts w:ascii="Times New Roman" w:hAnsi="Times New Roman" w:cs="Times New Roman"/>
          <w:color w:val="auto"/>
        </w:rPr>
        <w:t>Learning objective:  To help students understand how advances in the field of personalized medicine impact drug management and strategy.</w:t>
      </w:r>
    </w:p>
    <w:p w:rsidR="0058715E" w:rsidRDefault="0058715E">
      <w:pPr>
        <w:spacing w:after="160" w:line="259" w:lineRule="auto"/>
        <w:rPr>
          <w:rFonts w:ascii="Times New Roman" w:eastAsia="Times New Roman" w:hAnsi="Times New Roman"/>
          <w:bCs/>
          <w:i/>
          <w:kern w:val="36"/>
          <w:sz w:val="24"/>
          <w:szCs w:val="24"/>
        </w:rPr>
      </w:pPr>
      <w:r>
        <w:rPr>
          <w:b/>
          <w:i/>
          <w:sz w:val="24"/>
          <w:szCs w:val="24"/>
        </w:rPr>
        <w:br w:type="page"/>
      </w:r>
    </w:p>
    <w:p w:rsidR="00D87833" w:rsidRPr="00DD740C" w:rsidRDefault="00D87833" w:rsidP="00D87833">
      <w:pPr>
        <w:pStyle w:val="Heading1"/>
        <w:rPr>
          <w:b w:val="0"/>
          <w:i/>
          <w:sz w:val="24"/>
          <w:szCs w:val="24"/>
        </w:rPr>
      </w:pPr>
      <w:r w:rsidRPr="00DD740C">
        <w:rPr>
          <w:b w:val="0"/>
          <w:i/>
          <w:sz w:val="24"/>
          <w:szCs w:val="24"/>
        </w:rPr>
        <w:lastRenderedPageBreak/>
        <w:t xml:space="preserve">Managing Drugs on the Forefront of Personalized Medicine: The Erbitux and </w:t>
      </w:r>
      <w:proofErr w:type="spellStart"/>
      <w:r w:rsidRPr="00DD740C">
        <w:rPr>
          <w:b w:val="0"/>
          <w:i/>
          <w:sz w:val="24"/>
          <w:szCs w:val="24"/>
        </w:rPr>
        <w:t>Vectibix</w:t>
      </w:r>
      <w:proofErr w:type="spellEnd"/>
      <w:r w:rsidRPr="00DD740C">
        <w:rPr>
          <w:b w:val="0"/>
          <w:i/>
          <w:sz w:val="24"/>
          <w:szCs w:val="24"/>
        </w:rPr>
        <w:t xml:space="preserve"> Story</w:t>
      </w:r>
    </w:p>
    <w:p w:rsidR="00D87833" w:rsidRPr="00DD740C" w:rsidRDefault="00D87833" w:rsidP="00D87833">
      <w:pPr>
        <w:pStyle w:val="NormalWeb"/>
        <w:ind w:left="720"/>
      </w:pPr>
      <w:r w:rsidRPr="00DD740C">
        <w:t xml:space="preserve">In May 2007, </w:t>
      </w:r>
      <w:r w:rsidRPr="00DD740C">
        <w:rPr>
          <w:b/>
        </w:rPr>
        <w:t>Amgen</w:t>
      </w:r>
      <w:r w:rsidRPr="00DD740C">
        <w:t xml:space="preserve"> Inc. (Amgen) received disappointing news from the European Medicines Agency (EMEA) that its drug </w:t>
      </w:r>
      <w:proofErr w:type="spellStart"/>
      <w:r w:rsidRPr="00DD740C">
        <w:t>Vectibix</w:t>
      </w:r>
      <w:proofErr w:type="spellEnd"/>
      <w:r w:rsidRPr="00DD740C">
        <w:t xml:space="preserve">, developed to fight metastatic colorectal cancer, had been rejected. This was especially surprising news given that a similar rival drug had received approval several years prior. Moreover, </w:t>
      </w:r>
      <w:proofErr w:type="spellStart"/>
      <w:r w:rsidRPr="00DD740C">
        <w:t>Vectibix</w:t>
      </w:r>
      <w:proofErr w:type="spellEnd"/>
      <w:r w:rsidRPr="00DD740C">
        <w:t xml:space="preserve"> had also received Food and Drug Administration approval in 2006. During additional trials, Amgen has learned that the </w:t>
      </w:r>
      <w:proofErr w:type="spellStart"/>
      <w:r w:rsidRPr="00DD740C">
        <w:t>Vectibix</w:t>
      </w:r>
      <w:proofErr w:type="spellEnd"/>
      <w:r w:rsidRPr="00DD740C">
        <w:t xml:space="preserve"> is only effective with the 60% of the population that has a specific gene marker. Given this development, what should Amgen's strategy around </w:t>
      </w:r>
      <w:proofErr w:type="spellStart"/>
      <w:r w:rsidRPr="00DD740C">
        <w:t>Vectibix</w:t>
      </w:r>
      <w:proofErr w:type="spellEnd"/>
      <w:r w:rsidRPr="00DD740C">
        <w:t xml:space="preserve"> be both in Europe and the United States?</w:t>
      </w:r>
    </w:p>
    <w:p w:rsidR="00D87833" w:rsidRPr="00DD740C" w:rsidRDefault="00D87833" w:rsidP="00D87833">
      <w:pPr>
        <w:pStyle w:val="Heading3"/>
        <w:spacing w:line="240" w:lineRule="auto"/>
        <w:ind w:left="720"/>
        <w:rPr>
          <w:rFonts w:ascii="Times New Roman" w:hAnsi="Times New Roman" w:cs="Times New Roman"/>
          <w:color w:val="auto"/>
        </w:rPr>
      </w:pPr>
      <w:r w:rsidRPr="00DD740C">
        <w:rPr>
          <w:rFonts w:ascii="Times New Roman" w:hAnsi="Times New Roman" w:cs="Times New Roman"/>
          <w:color w:val="auto"/>
        </w:rPr>
        <w:t>Learning objective:  To help students understand how advances in the field of personalized medicine impact drug management and strategy</w:t>
      </w:r>
    </w:p>
    <w:p w:rsidR="00D87833" w:rsidRPr="00DD740C" w:rsidRDefault="00D87833" w:rsidP="00D87833">
      <w:pPr>
        <w:pStyle w:val="Heading1"/>
        <w:rPr>
          <w:b w:val="0"/>
          <w:i/>
          <w:sz w:val="24"/>
          <w:szCs w:val="24"/>
        </w:rPr>
      </w:pPr>
      <w:r w:rsidRPr="00DD740C">
        <w:rPr>
          <w:b w:val="0"/>
          <w:i/>
          <w:sz w:val="24"/>
          <w:szCs w:val="24"/>
        </w:rPr>
        <w:t>CVS Health: Promoting Drug Adherence</w:t>
      </w:r>
    </w:p>
    <w:p w:rsidR="00D87833" w:rsidRPr="00DD740C" w:rsidRDefault="00D87833" w:rsidP="00D87833">
      <w:pPr>
        <w:pStyle w:val="NormalWeb"/>
        <w:ind w:left="720"/>
      </w:pPr>
      <w:r w:rsidRPr="00DD740C">
        <w:t xml:space="preserve">The case describes a program that </w:t>
      </w:r>
      <w:r w:rsidRPr="00DD740C">
        <w:rPr>
          <w:b/>
        </w:rPr>
        <w:t>CVS Health</w:t>
      </w:r>
      <w:r w:rsidRPr="00DD740C">
        <w:t xml:space="preserve"> recently implemented to improve medication adherence, an important problem from societal, public policy, and firm perspectives. A test of the program, costing hundreds of thousands of dollars to implement, increased the proportion of adherent customers by 1.4 percentage points. Students are asked to quantify the system-wide economic benefit of this improvement and draw upon insights from behavioral science to examine approaches for boosting medication adherence.</w:t>
      </w:r>
    </w:p>
    <w:p w:rsidR="00D87833" w:rsidRPr="00DD740C" w:rsidRDefault="00D87833" w:rsidP="00D87833">
      <w:pPr>
        <w:pStyle w:val="Heading3"/>
        <w:spacing w:before="0" w:line="240" w:lineRule="auto"/>
        <w:ind w:left="720"/>
        <w:rPr>
          <w:rFonts w:ascii="Times New Roman" w:hAnsi="Times New Roman" w:cs="Times New Roman"/>
          <w:color w:val="auto"/>
        </w:rPr>
      </w:pPr>
      <w:r w:rsidRPr="00DD740C">
        <w:rPr>
          <w:rFonts w:ascii="Times New Roman" w:hAnsi="Times New Roman" w:cs="Times New Roman"/>
          <w:color w:val="auto"/>
        </w:rPr>
        <w:t>Learning objective:  The case fosters debate on the complexities of capturing value when the alignment of several stakeholders is required to make a product or service (in this case, the Pharmacy Advisor Program) effective. Students realize that successful value capture often requires coordination across stakeholders because, although each party derives value from the product, none is sufficiently incented to overcome the inertia and costs of getting the program started. The case also offers insights into behavior change. Specifically, the case discussion considers how marketing efforts designed to modify deeply ingrained behaviors can be made dramatically more effective by using principles from behavioral economics and psychology.</w:t>
      </w:r>
    </w:p>
    <w:p w:rsidR="00D87833" w:rsidRPr="00DD740C" w:rsidRDefault="00D87833" w:rsidP="00D87833">
      <w:pPr>
        <w:rPr>
          <w:rFonts w:ascii="Times New Roman" w:hAnsi="Times New Roman"/>
          <w:sz w:val="24"/>
          <w:szCs w:val="24"/>
        </w:rPr>
      </w:pPr>
    </w:p>
    <w:p w:rsidR="00D87833" w:rsidRPr="00DD740C" w:rsidRDefault="00D87833" w:rsidP="00D87833">
      <w:pPr>
        <w:rPr>
          <w:rFonts w:ascii="Times New Roman" w:hAnsi="Times New Roman"/>
          <w:i/>
          <w:sz w:val="24"/>
          <w:szCs w:val="24"/>
        </w:rPr>
      </w:pPr>
      <w:r w:rsidRPr="00DD740C">
        <w:rPr>
          <w:rFonts w:ascii="Times New Roman" w:hAnsi="Times New Roman"/>
          <w:i/>
          <w:sz w:val="24"/>
          <w:szCs w:val="24"/>
        </w:rPr>
        <w:t>Performance Pay for Massachusetts General Orthopedic Associates Physicians</w:t>
      </w:r>
    </w:p>
    <w:p w:rsidR="00DD740C" w:rsidRPr="00DD740C" w:rsidRDefault="00DD740C" w:rsidP="00D87833">
      <w:pPr>
        <w:rPr>
          <w:rFonts w:ascii="Times New Roman" w:hAnsi="Times New Roman"/>
          <w:b/>
          <w:sz w:val="24"/>
          <w:szCs w:val="24"/>
        </w:rPr>
      </w:pPr>
    </w:p>
    <w:p w:rsidR="00D87833" w:rsidRPr="00DD740C" w:rsidRDefault="00D87833" w:rsidP="00D87833">
      <w:pPr>
        <w:ind w:left="720"/>
        <w:rPr>
          <w:rFonts w:ascii="Times New Roman" w:hAnsi="Times New Roman"/>
          <w:sz w:val="24"/>
          <w:szCs w:val="24"/>
        </w:rPr>
      </w:pPr>
      <w:r w:rsidRPr="00DD740C">
        <w:rPr>
          <w:rFonts w:ascii="Times New Roman" w:hAnsi="Times New Roman"/>
          <w:sz w:val="24"/>
          <w:szCs w:val="24"/>
        </w:rPr>
        <w:t xml:space="preserve">Examines the transition of an orthopedic surgical group at a premier teaching and research hospital from a system in which the surgeons are compensated with flat salaries to a system where they are compensated based on profitability. Allows for an examination of several critical issues in incentive strategy, including pay-to-performance in a not-for-profit environment, whether a compensation system is truly aligned with value creation (issues of quality of care and research time), and the difficulty in designing a compensation system in a competitive labor market when the objectives of the institution extend beyond pure profit maximization. </w:t>
      </w:r>
    </w:p>
    <w:p w:rsidR="00DD740C" w:rsidRPr="00DD740C" w:rsidRDefault="00DD740C" w:rsidP="00D87833">
      <w:pPr>
        <w:rPr>
          <w:rFonts w:ascii="Times New Roman" w:hAnsi="Times New Roman"/>
          <w:b/>
          <w:sz w:val="24"/>
          <w:szCs w:val="24"/>
        </w:rPr>
      </w:pPr>
    </w:p>
    <w:p w:rsidR="0058715E" w:rsidRDefault="0058715E">
      <w:pPr>
        <w:spacing w:after="160" w:line="259" w:lineRule="auto"/>
        <w:rPr>
          <w:rFonts w:ascii="Times New Roman" w:hAnsi="Times New Roman"/>
          <w:i/>
          <w:sz w:val="24"/>
          <w:szCs w:val="24"/>
        </w:rPr>
      </w:pPr>
      <w:r>
        <w:rPr>
          <w:rFonts w:ascii="Times New Roman" w:hAnsi="Times New Roman"/>
          <w:i/>
          <w:sz w:val="24"/>
          <w:szCs w:val="24"/>
        </w:rPr>
        <w:br w:type="page"/>
      </w:r>
    </w:p>
    <w:p w:rsidR="00D87833" w:rsidRPr="00DD740C" w:rsidRDefault="00D87833" w:rsidP="00D87833">
      <w:pPr>
        <w:rPr>
          <w:rFonts w:ascii="Times New Roman" w:hAnsi="Times New Roman"/>
          <w:i/>
          <w:sz w:val="24"/>
          <w:szCs w:val="24"/>
        </w:rPr>
      </w:pPr>
      <w:r w:rsidRPr="00DD740C">
        <w:rPr>
          <w:rFonts w:ascii="Times New Roman" w:hAnsi="Times New Roman"/>
          <w:i/>
          <w:sz w:val="24"/>
          <w:szCs w:val="24"/>
        </w:rPr>
        <w:lastRenderedPageBreak/>
        <w:t>New treatments for genotype 1 hepatitis C infections</w:t>
      </w:r>
    </w:p>
    <w:p w:rsidR="00DD740C" w:rsidRPr="00DD740C" w:rsidRDefault="00DD740C" w:rsidP="00D87833">
      <w:pPr>
        <w:rPr>
          <w:rFonts w:ascii="Times New Roman" w:hAnsi="Times New Roman"/>
          <w:b/>
          <w:sz w:val="24"/>
          <w:szCs w:val="24"/>
        </w:rPr>
      </w:pPr>
    </w:p>
    <w:p w:rsidR="00D87833" w:rsidRPr="00DD740C" w:rsidRDefault="00D87833" w:rsidP="00D87833">
      <w:pPr>
        <w:ind w:left="720"/>
        <w:rPr>
          <w:rFonts w:ascii="Times New Roman" w:hAnsi="Times New Roman"/>
          <w:sz w:val="24"/>
          <w:szCs w:val="24"/>
        </w:rPr>
      </w:pPr>
      <w:r w:rsidRPr="00DD740C">
        <w:rPr>
          <w:rFonts w:ascii="Times New Roman" w:hAnsi="Times New Roman"/>
          <w:sz w:val="24"/>
          <w:szCs w:val="24"/>
        </w:rPr>
        <w:t xml:space="preserve">On December 18, 2014, the California Technology Assessment Forum (CTAF) held a meeting to review the newest treatments for genotype 1 hepatitis C infections. The CTAF Panel voted that there was sufficient evidence to demonstrate that multiple- direct-acting antiviral therapy is clinically superior to single-DAA therapy or </w:t>
      </w:r>
      <w:proofErr w:type="spellStart"/>
      <w:r w:rsidRPr="00DD740C">
        <w:rPr>
          <w:rFonts w:ascii="Times New Roman" w:hAnsi="Times New Roman"/>
          <w:sz w:val="24"/>
          <w:szCs w:val="24"/>
        </w:rPr>
        <w:t>pegylated</w:t>
      </w:r>
      <w:proofErr w:type="spellEnd"/>
      <w:r w:rsidRPr="00DD740C">
        <w:rPr>
          <w:rFonts w:ascii="Times New Roman" w:hAnsi="Times New Roman"/>
          <w:sz w:val="24"/>
          <w:szCs w:val="24"/>
        </w:rPr>
        <w:t xml:space="preserve"> interferon and ribavirin alone.  ICER’s </w:t>
      </w:r>
      <w:r w:rsidRPr="00DD740C">
        <w:rPr>
          <w:rFonts w:ascii="Times New Roman" w:hAnsi="Times New Roman"/>
          <w:b/>
          <w:bCs/>
          <w:i/>
          <w:iCs/>
          <w:sz w:val="24"/>
          <w:szCs w:val="24"/>
        </w:rPr>
        <w:t xml:space="preserve">cost-effectiveness analysis </w:t>
      </w:r>
      <w:r w:rsidRPr="00DD740C">
        <w:rPr>
          <w:rFonts w:ascii="Times New Roman" w:hAnsi="Times New Roman"/>
          <w:sz w:val="24"/>
          <w:szCs w:val="24"/>
        </w:rPr>
        <w:t xml:space="preserve">found that, at a 12-week cost of $94,500, LDV/SOF regimens for treatment-naïve and treatment-experienced patients met commonly accepted thresholds of $50,000-$100,000 per additional quality-adjusted life year gained. A strategy of treating patients at all fibrosis stages rather than waiting to treat patients until they reached fibrosis levels F3 or F4 also met commonly accepted cost-effectiveness thresholds. </w:t>
      </w:r>
    </w:p>
    <w:p w:rsidR="00640E0B" w:rsidRDefault="00640E0B" w:rsidP="00D87833">
      <w:pPr>
        <w:pStyle w:val="Default"/>
        <w:ind w:left="720"/>
        <w:rPr>
          <w:rFonts w:ascii="Times New Roman" w:hAnsi="Times New Roman" w:cs="Times New Roman"/>
        </w:rPr>
      </w:pPr>
    </w:p>
    <w:p w:rsidR="00D87833" w:rsidRPr="00DD740C" w:rsidRDefault="00D87833" w:rsidP="00D87833">
      <w:pPr>
        <w:pStyle w:val="Default"/>
        <w:ind w:left="720"/>
        <w:rPr>
          <w:rFonts w:ascii="Times New Roman" w:hAnsi="Times New Roman" w:cs="Times New Roman"/>
        </w:rPr>
      </w:pPr>
      <w:r w:rsidRPr="00DD740C">
        <w:rPr>
          <w:rFonts w:ascii="Times New Roman" w:hAnsi="Times New Roman" w:cs="Times New Roman"/>
        </w:rPr>
        <w:t xml:space="preserve">Estimating potential total costs for </w:t>
      </w:r>
      <w:proofErr w:type="spellStart"/>
      <w:r w:rsidRPr="00DD740C">
        <w:rPr>
          <w:rFonts w:ascii="Times New Roman" w:hAnsi="Times New Roman" w:cs="Times New Roman"/>
        </w:rPr>
        <w:t>Medi</w:t>
      </w:r>
      <w:proofErr w:type="spellEnd"/>
      <w:r w:rsidRPr="00DD740C">
        <w:rPr>
          <w:rFonts w:ascii="Times New Roman" w:hAnsi="Times New Roman" w:cs="Times New Roman"/>
        </w:rPr>
        <w:t xml:space="preserve">-Cal and the California Department of Corrections, ICER’s </w:t>
      </w:r>
      <w:r w:rsidRPr="00DD740C">
        <w:rPr>
          <w:rFonts w:ascii="Times New Roman" w:hAnsi="Times New Roman" w:cs="Times New Roman"/>
          <w:b/>
          <w:bCs/>
          <w:i/>
          <w:iCs/>
        </w:rPr>
        <w:t xml:space="preserve">budget impact analysis </w:t>
      </w:r>
      <w:r w:rsidRPr="00DD740C">
        <w:rPr>
          <w:rFonts w:ascii="Times New Roman" w:hAnsi="Times New Roman" w:cs="Times New Roman"/>
        </w:rPr>
        <w:t>showed: 1) an initial cost of $3 billion to treat all patients known to be infected with hepatitis C genotypes 1, 2, and 3 with the most effective therapies; and 2) that even after 20 years, less than half of this initial cost would be offset by savings from reduced liver complications. This analysis also found that a price range of $34,000-$42,000 for new regimens would be required to allow treatment of all individuals with known infections while keeping per-member-per-month (PMPM) cost increases to 0.5%-1%, the maximum increase many insurers considered manageable without special measures.</w:t>
      </w:r>
    </w:p>
    <w:p w:rsidR="00D87833" w:rsidRPr="00DD740C" w:rsidRDefault="00D87833" w:rsidP="00D87833">
      <w:pPr>
        <w:pStyle w:val="Default"/>
        <w:ind w:left="720"/>
        <w:rPr>
          <w:rFonts w:ascii="Times New Roman" w:hAnsi="Times New Roman" w:cs="Times New Roman"/>
        </w:rPr>
      </w:pPr>
    </w:p>
    <w:p w:rsidR="00D87833" w:rsidRPr="00DD740C" w:rsidRDefault="00D87833" w:rsidP="00D87833">
      <w:pPr>
        <w:pStyle w:val="Default"/>
        <w:rPr>
          <w:rFonts w:ascii="Times New Roman" w:hAnsi="Times New Roman" w:cs="Times New Roman"/>
        </w:rPr>
      </w:pPr>
      <w:r w:rsidRPr="00DD740C">
        <w:rPr>
          <w:rStyle w:val="Emphasis"/>
          <w:rFonts w:ascii="Times New Roman" w:hAnsi="Times New Roman" w:cs="Times New Roman"/>
        </w:rPr>
        <w:t>PCSK9 Inhibitor Therapies for High Cholesterol: Effectiveness, Value, and Value-Based Price Benchmarks</w:t>
      </w:r>
    </w:p>
    <w:p w:rsidR="00D87833" w:rsidRPr="00DD740C" w:rsidRDefault="00D87833" w:rsidP="00D87833">
      <w:pPr>
        <w:pStyle w:val="Default"/>
        <w:rPr>
          <w:rFonts w:ascii="Times New Roman" w:hAnsi="Times New Roman" w:cs="Times New Roman"/>
        </w:rPr>
      </w:pPr>
    </w:p>
    <w:p w:rsidR="00D87833" w:rsidRPr="00DD740C" w:rsidRDefault="00D87833" w:rsidP="00D87833">
      <w:pPr>
        <w:pStyle w:val="Default"/>
        <w:ind w:left="720"/>
        <w:rPr>
          <w:rFonts w:ascii="Times New Roman" w:hAnsi="Times New Roman" w:cs="Times New Roman"/>
        </w:rPr>
      </w:pPr>
      <w:r w:rsidRPr="00DD740C">
        <w:rPr>
          <w:rFonts w:ascii="Times New Roman" w:hAnsi="Times New Roman" w:cs="Times New Roman"/>
        </w:rPr>
        <w:t xml:space="preserve">The report includes a comprehensive review of currently available evidence on the newly approved PCSK9 inhibitors </w:t>
      </w:r>
      <w:proofErr w:type="spellStart"/>
      <w:r w:rsidRPr="00DD740C">
        <w:rPr>
          <w:rFonts w:ascii="Times New Roman" w:hAnsi="Times New Roman" w:cs="Times New Roman"/>
        </w:rPr>
        <w:t>alirocumab</w:t>
      </w:r>
      <w:proofErr w:type="spellEnd"/>
      <w:r w:rsidRPr="00DD740C">
        <w:rPr>
          <w:rFonts w:ascii="Times New Roman" w:hAnsi="Times New Roman" w:cs="Times New Roman"/>
        </w:rPr>
        <w:t xml:space="preserve"> (</w:t>
      </w:r>
      <w:proofErr w:type="spellStart"/>
      <w:r w:rsidRPr="00DD740C">
        <w:rPr>
          <w:rFonts w:ascii="Times New Roman" w:hAnsi="Times New Roman" w:cs="Times New Roman"/>
        </w:rPr>
        <w:t>Praluent</w:t>
      </w:r>
      <w:proofErr w:type="spellEnd"/>
      <w:r w:rsidRPr="00DD740C">
        <w:rPr>
          <w:rFonts w:ascii="Times New Roman" w:hAnsi="Times New Roman" w:cs="Times New Roman"/>
        </w:rPr>
        <w:t xml:space="preserve">®, </w:t>
      </w:r>
      <w:r w:rsidRPr="00DD740C">
        <w:rPr>
          <w:rFonts w:ascii="Times New Roman" w:hAnsi="Times New Roman" w:cs="Times New Roman"/>
          <w:b/>
        </w:rPr>
        <w:t>Regeneron/Sanofi</w:t>
      </w:r>
      <w:r w:rsidRPr="00DD740C">
        <w:rPr>
          <w:rFonts w:ascii="Times New Roman" w:hAnsi="Times New Roman" w:cs="Times New Roman"/>
        </w:rPr>
        <w:t xml:space="preserve">) and </w:t>
      </w:r>
      <w:proofErr w:type="spellStart"/>
      <w:r w:rsidRPr="00DD740C">
        <w:rPr>
          <w:rFonts w:ascii="Times New Roman" w:hAnsi="Times New Roman" w:cs="Times New Roman"/>
        </w:rPr>
        <w:t>evolocumab</w:t>
      </w:r>
      <w:proofErr w:type="spellEnd"/>
      <w:r w:rsidRPr="00DD740C">
        <w:rPr>
          <w:rFonts w:ascii="Times New Roman" w:hAnsi="Times New Roman" w:cs="Times New Roman"/>
        </w:rPr>
        <w:t xml:space="preserve"> (</w:t>
      </w:r>
      <w:proofErr w:type="spellStart"/>
      <w:r w:rsidRPr="00DD740C">
        <w:rPr>
          <w:rFonts w:ascii="Times New Roman" w:hAnsi="Times New Roman" w:cs="Times New Roman"/>
        </w:rPr>
        <w:t>Repatha</w:t>
      </w:r>
      <w:proofErr w:type="spellEnd"/>
      <w:r w:rsidRPr="00DD740C">
        <w:rPr>
          <w:rFonts w:ascii="Times New Roman" w:hAnsi="Times New Roman" w:cs="Times New Roman"/>
        </w:rPr>
        <w:t xml:space="preserve">™, </w:t>
      </w:r>
      <w:r w:rsidRPr="00DD740C">
        <w:rPr>
          <w:rFonts w:ascii="Times New Roman" w:hAnsi="Times New Roman" w:cs="Times New Roman"/>
          <w:b/>
        </w:rPr>
        <w:t>Amgen</w:t>
      </w:r>
      <w:r w:rsidRPr="00DD740C">
        <w:rPr>
          <w:rFonts w:ascii="Times New Roman" w:hAnsi="Times New Roman" w:cs="Times New Roman"/>
        </w:rPr>
        <w:t>), and also provides analyses of cost-effectiveness and potential budget impact under different utilization assumptions. Based on these findings the report presents the draft incremental cost-effectiveness ratio (ICER) value-based price benchmark for these drugs; prices that reflect the magnitude of estimated improvements in long-term patient outcomes and a threshold for new drug costs that does not exceed growth in the overall national economy.</w:t>
      </w:r>
    </w:p>
    <w:p w:rsidR="00D87833" w:rsidRPr="00DD740C" w:rsidRDefault="00D87833" w:rsidP="00D87833">
      <w:pPr>
        <w:pStyle w:val="Default"/>
        <w:ind w:left="720"/>
        <w:rPr>
          <w:rFonts w:ascii="Times New Roman" w:hAnsi="Times New Roman" w:cs="Times New Roman"/>
        </w:rPr>
      </w:pPr>
    </w:p>
    <w:p w:rsidR="00D87833" w:rsidRPr="00DD740C" w:rsidRDefault="00D87833" w:rsidP="00D87833">
      <w:pPr>
        <w:pStyle w:val="Default"/>
        <w:ind w:left="720"/>
        <w:rPr>
          <w:rFonts w:ascii="Times New Roman" w:hAnsi="Times New Roman" w:cs="Times New Roman"/>
        </w:rPr>
      </w:pPr>
      <w:r w:rsidRPr="00DD740C">
        <w:rPr>
          <w:rFonts w:ascii="Times New Roman" w:hAnsi="Times New Roman" w:cs="Times New Roman"/>
        </w:rPr>
        <w:t>It has been estimated that as many as 3.5-15 million Americans with elevated cholesterol may be eligible and considered for treatment with PCSK9 inhibitors. But there is remaining uncertainty about interpretation of the existing evidence on the clinical effectiveness of these drugs for different types of patients. In addition, with a list price over $14,000 per year there are serious questions regarding the price at which these drugs would represent a sensible value to patients and to the health care system.</w:t>
      </w:r>
    </w:p>
    <w:p w:rsidR="00D87833" w:rsidRPr="00DD740C" w:rsidRDefault="00D87833" w:rsidP="00D87833">
      <w:pPr>
        <w:pStyle w:val="NormalWeb"/>
        <w:ind w:left="720"/>
      </w:pPr>
      <w:r w:rsidRPr="00DD740C">
        <w:t>The results of ICER’s analyses indicate that the price that best represents the overall benefits these drugs may bring to patients would be between $3,615 and $4,811, representing a 67% discount off the list price. But, as Pearson noted, this price range excludes a critical consideration: potential budget impact.</w:t>
      </w:r>
    </w:p>
    <w:p w:rsidR="00D87833" w:rsidRPr="00DD740C" w:rsidRDefault="00D87833" w:rsidP="00D87833">
      <w:pPr>
        <w:pStyle w:val="NormalWeb"/>
        <w:ind w:left="720"/>
      </w:pPr>
      <w:r w:rsidRPr="00DD740C">
        <w:lastRenderedPageBreak/>
        <w:t>“Even if these drugs were used in just over 25% of eligible patients, then employers, insurers, and patients would need to spend on average more than $20 billion a year for these drugs, a cost that would continue on into the future.”</w:t>
      </w:r>
    </w:p>
    <w:p w:rsidR="00325BE5" w:rsidRPr="00DD740C" w:rsidRDefault="00D87833" w:rsidP="00EB0427">
      <w:pPr>
        <w:pStyle w:val="NormalWeb"/>
        <w:ind w:left="720"/>
      </w:pPr>
      <w:r w:rsidRPr="00DD740C">
        <w:t>The report concludes that it would take a further price reduction to an annual drug cost of $2,177 for the total costs of these new drugs to come down to a level at which doctors and insurers would not have to try to limit patient use in some way to keep overall health care cost growth within bounds.</w:t>
      </w:r>
    </w:p>
    <w:sectPr w:rsidR="00325BE5" w:rsidRPr="00DD740C" w:rsidSect="0048303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2C" w:rsidRDefault="00396F2C" w:rsidP="0048303C">
      <w:r>
        <w:separator/>
      </w:r>
    </w:p>
  </w:endnote>
  <w:endnote w:type="continuationSeparator" w:id="0">
    <w:p w:rsidR="00396F2C" w:rsidRDefault="00396F2C" w:rsidP="0048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2C" w:rsidRDefault="00396F2C" w:rsidP="0048303C">
      <w:r>
        <w:separator/>
      </w:r>
    </w:p>
  </w:footnote>
  <w:footnote w:type="continuationSeparator" w:id="0">
    <w:p w:rsidR="00396F2C" w:rsidRDefault="00396F2C" w:rsidP="0048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39034"/>
      <w:docPartObj>
        <w:docPartGallery w:val="Page Numbers (Top of Page)"/>
        <w:docPartUnique/>
      </w:docPartObj>
    </w:sdtPr>
    <w:sdtEndPr>
      <w:rPr>
        <w:noProof/>
      </w:rPr>
    </w:sdtEndPr>
    <w:sdtContent>
      <w:p w:rsidR="0048303C" w:rsidRDefault="0048303C">
        <w:pPr>
          <w:pStyle w:val="Header"/>
          <w:jc w:val="right"/>
        </w:pPr>
        <w:r>
          <w:fldChar w:fldCharType="begin"/>
        </w:r>
        <w:r>
          <w:instrText xml:space="preserve"> PAGE   \* MERGEFORMAT </w:instrText>
        </w:r>
        <w:r>
          <w:fldChar w:fldCharType="separate"/>
        </w:r>
        <w:r w:rsidR="006C305A">
          <w:rPr>
            <w:noProof/>
          </w:rPr>
          <w:t>9</w:t>
        </w:r>
        <w:r>
          <w:rPr>
            <w:noProof/>
          </w:rPr>
          <w:fldChar w:fldCharType="end"/>
        </w:r>
      </w:p>
    </w:sdtContent>
  </w:sdt>
  <w:p w:rsidR="0048303C" w:rsidRDefault="00483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DEA"/>
    <w:multiLevelType w:val="hybridMultilevel"/>
    <w:tmpl w:val="B3AA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424AB"/>
    <w:multiLevelType w:val="hybridMultilevel"/>
    <w:tmpl w:val="BC5ED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D27EC8"/>
    <w:multiLevelType w:val="hybridMultilevel"/>
    <w:tmpl w:val="265A9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C5E3A"/>
    <w:multiLevelType w:val="hybridMultilevel"/>
    <w:tmpl w:val="59CECE40"/>
    <w:lvl w:ilvl="0" w:tplc="AAAC3B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B697D"/>
    <w:multiLevelType w:val="hybridMultilevel"/>
    <w:tmpl w:val="4F248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E2370"/>
    <w:multiLevelType w:val="multilevel"/>
    <w:tmpl w:val="55562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51D3A"/>
    <w:multiLevelType w:val="hybridMultilevel"/>
    <w:tmpl w:val="F2E2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84458"/>
    <w:multiLevelType w:val="hybridMultilevel"/>
    <w:tmpl w:val="421A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75F75"/>
    <w:multiLevelType w:val="hybridMultilevel"/>
    <w:tmpl w:val="A90E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7361B"/>
    <w:multiLevelType w:val="hybridMultilevel"/>
    <w:tmpl w:val="0CDA6492"/>
    <w:lvl w:ilvl="0" w:tplc="3FFABF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D97937"/>
    <w:multiLevelType w:val="hybridMultilevel"/>
    <w:tmpl w:val="A3B4B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F97E9F"/>
    <w:multiLevelType w:val="hybridMultilevel"/>
    <w:tmpl w:val="0CDA6492"/>
    <w:lvl w:ilvl="0" w:tplc="3FFABF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713C00"/>
    <w:multiLevelType w:val="hybridMultilevel"/>
    <w:tmpl w:val="072C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C5141"/>
    <w:multiLevelType w:val="hybridMultilevel"/>
    <w:tmpl w:val="FA0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44222"/>
    <w:multiLevelType w:val="hybridMultilevel"/>
    <w:tmpl w:val="BF0A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735E1"/>
    <w:multiLevelType w:val="hybridMultilevel"/>
    <w:tmpl w:val="93B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8"/>
  </w:num>
  <w:num w:numId="5">
    <w:abstractNumId w:val="14"/>
  </w:num>
  <w:num w:numId="6">
    <w:abstractNumId w:val="7"/>
  </w:num>
  <w:num w:numId="7">
    <w:abstractNumId w:val="12"/>
  </w:num>
  <w:num w:numId="8">
    <w:abstractNumId w:val="0"/>
  </w:num>
  <w:num w:numId="9">
    <w:abstractNumId w:val="3"/>
  </w:num>
  <w:num w:numId="10">
    <w:abstractNumId w:val="11"/>
  </w:num>
  <w:num w:numId="11">
    <w:abstractNumId w:val="9"/>
  </w:num>
  <w:num w:numId="12">
    <w:abstractNumId w:val="5"/>
  </w:num>
  <w:num w:numId="13">
    <w:abstractNumId w:val="1"/>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5"/>
    <w:rsid w:val="00044B24"/>
    <w:rsid w:val="001032E2"/>
    <w:rsid w:val="00117882"/>
    <w:rsid w:val="00151CCA"/>
    <w:rsid w:val="00245C11"/>
    <w:rsid w:val="002C792D"/>
    <w:rsid w:val="00325BE5"/>
    <w:rsid w:val="00340F8C"/>
    <w:rsid w:val="00362D6E"/>
    <w:rsid w:val="00396F2C"/>
    <w:rsid w:val="00416603"/>
    <w:rsid w:val="0048303C"/>
    <w:rsid w:val="004924DB"/>
    <w:rsid w:val="004D37F7"/>
    <w:rsid w:val="00524AA3"/>
    <w:rsid w:val="0058715E"/>
    <w:rsid w:val="00640E0B"/>
    <w:rsid w:val="006C305A"/>
    <w:rsid w:val="006F2BAB"/>
    <w:rsid w:val="0079240E"/>
    <w:rsid w:val="007C3BFA"/>
    <w:rsid w:val="007E53D9"/>
    <w:rsid w:val="007E5CED"/>
    <w:rsid w:val="00834ADC"/>
    <w:rsid w:val="008C4B00"/>
    <w:rsid w:val="0097614A"/>
    <w:rsid w:val="009A6C2E"/>
    <w:rsid w:val="009B1C0F"/>
    <w:rsid w:val="00A2505E"/>
    <w:rsid w:val="00A57B63"/>
    <w:rsid w:val="00A64644"/>
    <w:rsid w:val="00AB39ED"/>
    <w:rsid w:val="00AC1080"/>
    <w:rsid w:val="00B30560"/>
    <w:rsid w:val="00CB5420"/>
    <w:rsid w:val="00D10546"/>
    <w:rsid w:val="00D72402"/>
    <w:rsid w:val="00D856F7"/>
    <w:rsid w:val="00D87833"/>
    <w:rsid w:val="00DD740C"/>
    <w:rsid w:val="00E14C27"/>
    <w:rsid w:val="00E328E8"/>
    <w:rsid w:val="00E5522D"/>
    <w:rsid w:val="00EB0427"/>
    <w:rsid w:val="00F428E4"/>
    <w:rsid w:val="00FA050F"/>
    <w:rsid w:val="00FE28D5"/>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14A1"/>
  <w15:chartTrackingRefBased/>
  <w15:docId w15:val="{4C443BF8-7FC4-4335-87BA-2306CEFA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5BE5"/>
    <w:pPr>
      <w:spacing w:after="0" w:line="240" w:lineRule="auto"/>
    </w:pPr>
    <w:rPr>
      <w:rFonts w:ascii="Calibri" w:hAnsi="Calibri" w:cs="Times New Roman"/>
    </w:rPr>
  </w:style>
  <w:style w:type="paragraph" w:styleId="Heading1">
    <w:name w:val="heading 1"/>
    <w:basedOn w:val="Normal"/>
    <w:link w:val="Heading1Char"/>
    <w:uiPriority w:val="9"/>
    <w:qFormat/>
    <w:rsid w:val="001032E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D87833"/>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25BE5"/>
  </w:style>
  <w:style w:type="character" w:customStyle="1" w:styleId="Heading1Char">
    <w:name w:val="Heading 1 Char"/>
    <w:basedOn w:val="DefaultParagraphFont"/>
    <w:link w:val="Heading1"/>
    <w:uiPriority w:val="9"/>
    <w:rsid w:val="001032E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032E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A6C2E"/>
    <w:rPr>
      <w:color w:val="0000FF"/>
      <w:u w:val="single"/>
    </w:rPr>
  </w:style>
  <w:style w:type="paragraph" w:styleId="ListParagraph">
    <w:name w:val="List Paragraph"/>
    <w:basedOn w:val="Normal"/>
    <w:uiPriority w:val="34"/>
    <w:qFormat/>
    <w:rsid w:val="00340F8C"/>
    <w:pPr>
      <w:ind w:left="720"/>
      <w:contextualSpacing/>
    </w:pPr>
  </w:style>
  <w:style w:type="paragraph" w:customStyle="1" w:styleId="Default">
    <w:name w:val="Default"/>
    <w:rsid w:val="009B1C0F"/>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9B1C0F"/>
    <w:rPr>
      <w:i/>
      <w:iCs/>
    </w:rPr>
  </w:style>
  <w:style w:type="character" w:customStyle="1" w:styleId="Heading3Char">
    <w:name w:val="Heading 3 Char"/>
    <w:basedOn w:val="DefaultParagraphFont"/>
    <w:link w:val="Heading3"/>
    <w:uiPriority w:val="9"/>
    <w:rsid w:val="00D87833"/>
    <w:rPr>
      <w:rFonts w:asciiTheme="majorHAnsi" w:eastAsiaTheme="majorEastAsia" w:hAnsiTheme="majorHAnsi" w:cstheme="majorBidi"/>
      <w:color w:val="1F4D78" w:themeColor="accent1" w:themeShade="7F"/>
      <w:sz w:val="24"/>
      <w:szCs w:val="24"/>
    </w:rPr>
  </w:style>
  <w:style w:type="character" w:customStyle="1" w:styleId="text-with-line-breaks">
    <w:name w:val="text-with-line-breaks"/>
    <w:basedOn w:val="DefaultParagraphFont"/>
    <w:rsid w:val="00D87833"/>
  </w:style>
  <w:style w:type="table" w:styleId="TableGrid">
    <w:name w:val="Table Grid"/>
    <w:basedOn w:val="TableNormal"/>
    <w:uiPriority w:val="59"/>
    <w:rsid w:val="007C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03C"/>
    <w:pPr>
      <w:tabs>
        <w:tab w:val="center" w:pos="4680"/>
        <w:tab w:val="right" w:pos="9360"/>
      </w:tabs>
    </w:pPr>
  </w:style>
  <w:style w:type="character" w:customStyle="1" w:styleId="HeaderChar">
    <w:name w:val="Header Char"/>
    <w:basedOn w:val="DefaultParagraphFont"/>
    <w:link w:val="Header"/>
    <w:uiPriority w:val="99"/>
    <w:rsid w:val="0048303C"/>
    <w:rPr>
      <w:rFonts w:ascii="Calibri" w:hAnsi="Calibri" w:cs="Times New Roman"/>
    </w:rPr>
  </w:style>
  <w:style w:type="paragraph" w:styleId="Footer">
    <w:name w:val="footer"/>
    <w:basedOn w:val="Normal"/>
    <w:link w:val="FooterChar"/>
    <w:uiPriority w:val="99"/>
    <w:unhideWhenUsed/>
    <w:rsid w:val="0048303C"/>
    <w:pPr>
      <w:tabs>
        <w:tab w:val="center" w:pos="4680"/>
        <w:tab w:val="right" w:pos="9360"/>
      </w:tabs>
    </w:pPr>
  </w:style>
  <w:style w:type="character" w:customStyle="1" w:styleId="FooterChar">
    <w:name w:val="Footer Char"/>
    <w:basedOn w:val="DefaultParagraphFont"/>
    <w:link w:val="Footer"/>
    <w:uiPriority w:val="99"/>
    <w:rsid w:val="004830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9989">
      <w:bodyDiv w:val="1"/>
      <w:marLeft w:val="0"/>
      <w:marRight w:val="0"/>
      <w:marTop w:val="0"/>
      <w:marBottom w:val="0"/>
      <w:divBdr>
        <w:top w:val="none" w:sz="0" w:space="0" w:color="auto"/>
        <w:left w:val="none" w:sz="0" w:space="0" w:color="auto"/>
        <w:bottom w:val="none" w:sz="0" w:space="0" w:color="auto"/>
        <w:right w:val="none" w:sz="0" w:space="0" w:color="auto"/>
      </w:divBdr>
      <w:divsChild>
        <w:div w:id="220290813">
          <w:marLeft w:val="0"/>
          <w:marRight w:val="0"/>
          <w:marTop w:val="0"/>
          <w:marBottom w:val="0"/>
          <w:divBdr>
            <w:top w:val="none" w:sz="0" w:space="0" w:color="auto"/>
            <w:left w:val="none" w:sz="0" w:space="0" w:color="auto"/>
            <w:bottom w:val="none" w:sz="0" w:space="0" w:color="auto"/>
            <w:right w:val="none" w:sz="0" w:space="0" w:color="auto"/>
          </w:divBdr>
          <w:divsChild>
            <w:div w:id="1477064745">
              <w:marLeft w:val="0"/>
              <w:marRight w:val="0"/>
              <w:marTop w:val="0"/>
              <w:marBottom w:val="0"/>
              <w:divBdr>
                <w:top w:val="none" w:sz="0" w:space="0" w:color="auto"/>
                <w:left w:val="none" w:sz="0" w:space="0" w:color="auto"/>
                <w:bottom w:val="none" w:sz="0" w:space="0" w:color="auto"/>
                <w:right w:val="none" w:sz="0" w:space="0" w:color="auto"/>
              </w:divBdr>
            </w:div>
          </w:divsChild>
        </w:div>
        <w:div w:id="65609743">
          <w:marLeft w:val="0"/>
          <w:marRight w:val="0"/>
          <w:marTop w:val="0"/>
          <w:marBottom w:val="0"/>
          <w:divBdr>
            <w:top w:val="none" w:sz="0" w:space="0" w:color="auto"/>
            <w:left w:val="none" w:sz="0" w:space="0" w:color="auto"/>
            <w:bottom w:val="none" w:sz="0" w:space="0" w:color="auto"/>
            <w:right w:val="none" w:sz="0" w:space="0" w:color="auto"/>
          </w:divBdr>
          <w:divsChild>
            <w:div w:id="792096809">
              <w:marLeft w:val="0"/>
              <w:marRight w:val="0"/>
              <w:marTop w:val="0"/>
              <w:marBottom w:val="0"/>
              <w:divBdr>
                <w:top w:val="none" w:sz="0" w:space="0" w:color="auto"/>
                <w:left w:val="none" w:sz="0" w:space="0" w:color="auto"/>
                <w:bottom w:val="none" w:sz="0" w:space="0" w:color="auto"/>
                <w:right w:val="none" w:sz="0" w:space="0" w:color="auto"/>
              </w:divBdr>
              <w:divsChild>
                <w:div w:id="989560595">
                  <w:marLeft w:val="0"/>
                  <w:marRight w:val="0"/>
                  <w:marTop w:val="0"/>
                  <w:marBottom w:val="0"/>
                  <w:divBdr>
                    <w:top w:val="none" w:sz="0" w:space="0" w:color="auto"/>
                    <w:left w:val="none" w:sz="0" w:space="0" w:color="auto"/>
                    <w:bottom w:val="none" w:sz="0" w:space="0" w:color="auto"/>
                    <w:right w:val="none" w:sz="0" w:space="0" w:color="auto"/>
                  </w:divBdr>
                  <w:divsChild>
                    <w:div w:id="1944803232">
                      <w:marLeft w:val="0"/>
                      <w:marRight w:val="0"/>
                      <w:marTop w:val="0"/>
                      <w:marBottom w:val="0"/>
                      <w:divBdr>
                        <w:top w:val="none" w:sz="0" w:space="0" w:color="auto"/>
                        <w:left w:val="none" w:sz="0" w:space="0" w:color="auto"/>
                        <w:bottom w:val="none" w:sz="0" w:space="0" w:color="auto"/>
                        <w:right w:val="none" w:sz="0" w:space="0" w:color="auto"/>
                      </w:divBdr>
                      <w:divsChild>
                        <w:div w:id="8149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6094">
          <w:marLeft w:val="0"/>
          <w:marRight w:val="0"/>
          <w:marTop w:val="0"/>
          <w:marBottom w:val="0"/>
          <w:divBdr>
            <w:top w:val="none" w:sz="0" w:space="0" w:color="auto"/>
            <w:left w:val="none" w:sz="0" w:space="0" w:color="auto"/>
            <w:bottom w:val="none" w:sz="0" w:space="0" w:color="auto"/>
            <w:right w:val="none" w:sz="0" w:space="0" w:color="auto"/>
          </w:divBdr>
          <w:divsChild>
            <w:div w:id="1534615106">
              <w:marLeft w:val="0"/>
              <w:marRight w:val="0"/>
              <w:marTop w:val="0"/>
              <w:marBottom w:val="0"/>
              <w:divBdr>
                <w:top w:val="none" w:sz="0" w:space="0" w:color="auto"/>
                <w:left w:val="none" w:sz="0" w:space="0" w:color="auto"/>
                <w:bottom w:val="none" w:sz="0" w:space="0" w:color="auto"/>
                <w:right w:val="none" w:sz="0" w:space="0" w:color="auto"/>
              </w:divBdr>
              <w:divsChild>
                <w:div w:id="714624058">
                  <w:marLeft w:val="0"/>
                  <w:marRight w:val="0"/>
                  <w:marTop w:val="0"/>
                  <w:marBottom w:val="0"/>
                  <w:divBdr>
                    <w:top w:val="none" w:sz="0" w:space="0" w:color="auto"/>
                    <w:left w:val="none" w:sz="0" w:space="0" w:color="auto"/>
                    <w:bottom w:val="none" w:sz="0" w:space="0" w:color="auto"/>
                    <w:right w:val="none" w:sz="0" w:space="0" w:color="auto"/>
                  </w:divBdr>
                  <w:divsChild>
                    <w:div w:id="71007942">
                      <w:marLeft w:val="0"/>
                      <w:marRight w:val="0"/>
                      <w:marTop w:val="0"/>
                      <w:marBottom w:val="0"/>
                      <w:divBdr>
                        <w:top w:val="none" w:sz="0" w:space="0" w:color="auto"/>
                        <w:left w:val="none" w:sz="0" w:space="0" w:color="auto"/>
                        <w:bottom w:val="none" w:sz="0" w:space="0" w:color="auto"/>
                        <w:right w:val="none" w:sz="0" w:space="0" w:color="auto"/>
                      </w:divBdr>
                      <w:divsChild>
                        <w:div w:id="1588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69515">
      <w:bodyDiv w:val="1"/>
      <w:marLeft w:val="0"/>
      <w:marRight w:val="0"/>
      <w:marTop w:val="0"/>
      <w:marBottom w:val="0"/>
      <w:divBdr>
        <w:top w:val="none" w:sz="0" w:space="0" w:color="auto"/>
        <w:left w:val="none" w:sz="0" w:space="0" w:color="auto"/>
        <w:bottom w:val="none" w:sz="0" w:space="0" w:color="auto"/>
        <w:right w:val="none" w:sz="0" w:space="0" w:color="auto"/>
      </w:divBdr>
    </w:div>
    <w:div w:id="808396484">
      <w:bodyDiv w:val="1"/>
      <w:marLeft w:val="0"/>
      <w:marRight w:val="0"/>
      <w:marTop w:val="0"/>
      <w:marBottom w:val="0"/>
      <w:divBdr>
        <w:top w:val="none" w:sz="0" w:space="0" w:color="auto"/>
        <w:left w:val="none" w:sz="0" w:space="0" w:color="auto"/>
        <w:bottom w:val="none" w:sz="0" w:space="0" w:color="auto"/>
        <w:right w:val="none" w:sz="0" w:space="0" w:color="auto"/>
      </w:divBdr>
    </w:div>
    <w:div w:id="1315451879">
      <w:bodyDiv w:val="1"/>
      <w:marLeft w:val="0"/>
      <w:marRight w:val="0"/>
      <w:marTop w:val="0"/>
      <w:marBottom w:val="0"/>
      <w:divBdr>
        <w:top w:val="none" w:sz="0" w:space="0" w:color="auto"/>
        <w:left w:val="none" w:sz="0" w:space="0" w:color="auto"/>
        <w:bottom w:val="none" w:sz="0" w:space="0" w:color="auto"/>
        <w:right w:val="none" w:sz="0" w:space="0" w:color="auto"/>
      </w:divBdr>
      <w:divsChild>
        <w:div w:id="35087516">
          <w:marLeft w:val="0"/>
          <w:marRight w:val="0"/>
          <w:marTop w:val="0"/>
          <w:marBottom w:val="0"/>
          <w:divBdr>
            <w:top w:val="none" w:sz="0" w:space="0" w:color="auto"/>
            <w:left w:val="none" w:sz="0" w:space="0" w:color="auto"/>
            <w:bottom w:val="none" w:sz="0" w:space="0" w:color="auto"/>
            <w:right w:val="none" w:sz="0" w:space="0" w:color="auto"/>
          </w:divBdr>
        </w:div>
        <w:div w:id="1514227702">
          <w:marLeft w:val="0"/>
          <w:marRight w:val="0"/>
          <w:marTop w:val="0"/>
          <w:marBottom w:val="0"/>
          <w:divBdr>
            <w:top w:val="none" w:sz="0" w:space="0" w:color="auto"/>
            <w:left w:val="none" w:sz="0" w:space="0" w:color="auto"/>
            <w:bottom w:val="none" w:sz="0" w:space="0" w:color="auto"/>
            <w:right w:val="none" w:sz="0" w:space="0" w:color="auto"/>
          </w:divBdr>
        </w:div>
      </w:divsChild>
    </w:div>
    <w:div w:id="1651670375">
      <w:bodyDiv w:val="1"/>
      <w:marLeft w:val="0"/>
      <w:marRight w:val="0"/>
      <w:marTop w:val="0"/>
      <w:marBottom w:val="0"/>
      <w:divBdr>
        <w:top w:val="none" w:sz="0" w:space="0" w:color="auto"/>
        <w:left w:val="none" w:sz="0" w:space="0" w:color="auto"/>
        <w:bottom w:val="none" w:sz="0" w:space="0" w:color="auto"/>
        <w:right w:val="none" w:sz="0" w:space="0" w:color="auto"/>
      </w:divBdr>
      <w:divsChild>
        <w:div w:id="841509594">
          <w:marLeft w:val="0"/>
          <w:marRight w:val="0"/>
          <w:marTop w:val="0"/>
          <w:marBottom w:val="0"/>
          <w:divBdr>
            <w:top w:val="none" w:sz="0" w:space="0" w:color="auto"/>
            <w:left w:val="none" w:sz="0" w:space="0" w:color="auto"/>
            <w:bottom w:val="none" w:sz="0" w:space="0" w:color="auto"/>
            <w:right w:val="none" w:sz="0" w:space="0" w:color="auto"/>
          </w:divBdr>
        </w:div>
        <w:div w:id="1350371935">
          <w:marLeft w:val="0"/>
          <w:marRight w:val="0"/>
          <w:marTop w:val="0"/>
          <w:marBottom w:val="0"/>
          <w:divBdr>
            <w:top w:val="none" w:sz="0" w:space="0" w:color="auto"/>
            <w:left w:val="none" w:sz="0" w:space="0" w:color="auto"/>
            <w:bottom w:val="none" w:sz="0" w:space="0" w:color="auto"/>
            <w:right w:val="none" w:sz="0" w:space="0" w:color="auto"/>
          </w:divBdr>
        </w:div>
      </w:divsChild>
    </w:div>
    <w:div w:id="1676568059">
      <w:bodyDiv w:val="1"/>
      <w:marLeft w:val="0"/>
      <w:marRight w:val="0"/>
      <w:marTop w:val="0"/>
      <w:marBottom w:val="0"/>
      <w:divBdr>
        <w:top w:val="none" w:sz="0" w:space="0" w:color="auto"/>
        <w:left w:val="none" w:sz="0" w:space="0" w:color="auto"/>
        <w:bottom w:val="none" w:sz="0" w:space="0" w:color="auto"/>
        <w:right w:val="none" w:sz="0" w:space="0" w:color="auto"/>
      </w:divBdr>
    </w:div>
    <w:div w:id="17072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lichtenberg@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 Frank</dc:creator>
  <cp:keywords/>
  <dc:description/>
  <cp:lastModifiedBy>Author</cp:lastModifiedBy>
  <cp:revision>3</cp:revision>
  <dcterms:created xsi:type="dcterms:W3CDTF">2016-12-14T19:42:00Z</dcterms:created>
  <dcterms:modified xsi:type="dcterms:W3CDTF">2016-12-14T19:42:00Z</dcterms:modified>
</cp:coreProperties>
</file>