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CD" w:rsidRPr="0059476B" w:rsidRDefault="00AB1CCD" w:rsidP="00AB1CCD">
      <w:pPr>
        <w:jc w:val="center"/>
        <w:rPr>
          <w:rFonts w:ascii="Arial" w:eastAsia="Gulim" w:hAnsi="Arial" w:cs="Arial"/>
          <w:b/>
          <w:sz w:val="22"/>
          <w:szCs w:val="22"/>
        </w:rPr>
      </w:pPr>
      <w:r w:rsidRPr="0059476B">
        <w:rPr>
          <w:rFonts w:ascii="Arial" w:eastAsia="Gulim" w:hAnsi="Arial" w:cs="Arial"/>
          <w:b/>
          <w:sz w:val="22"/>
          <w:szCs w:val="22"/>
        </w:rPr>
        <w:t xml:space="preserve">COLUMBIA BUSINESS SCHOOL </w:t>
      </w:r>
    </w:p>
    <w:p w:rsidR="00AB1CCD" w:rsidRPr="0059476B" w:rsidRDefault="00AB1CCD" w:rsidP="00AB1CCD">
      <w:pPr>
        <w:jc w:val="center"/>
        <w:rPr>
          <w:rFonts w:ascii="Arial" w:eastAsia="Gulim" w:hAnsi="Arial" w:cs="Arial"/>
          <w:b/>
          <w:sz w:val="22"/>
          <w:szCs w:val="22"/>
        </w:rPr>
      </w:pPr>
    </w:p>
    <w:p w:rsidR="00AB1CCD" w:rsidRDefault="00AB1CCD" w:rsidP="00AB1CCD">
      <w:pPr>
        <w:jc w:val="center"/>
        <w:rPr>
          <w:rFonts w:ascii="Arial" w:eastAsia="Gulim" w:hAnsi="Arial" w:cs="Arial"/>
          <w:b/>
          <w:sz w:val="22"/>
          <w:szCs w:val="22"/>
        </w:rPr>
      </w:pPr>
    </w:p>
    <w:p w:rsidR="00EB39B7" w:rsidRPr="0059476B" w:rsidRDefault="00EB39B7" w:rsidP="00AB1CCD">
      <w:pPr>
        <w:jc w:val="center"/>
        <w:rPr>
          <w:rFonts w:ascii="Arial" w:eastAsia="Gulim"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4050"/>
        <w:gridCol w:w="630"/>
        <w:gridCol w:w="4500"/>
      </w:tblGrid>
      <w:tr w:rsidR="00EB39B7" w:rsidRPr="000B0F35" w:rsidTr="00B54CE5">
        <w:trPr>
          <w:trHeight w:val="1332"/>
        </w:trPr>
        <w:tc>
          <w:tcPr>
            <w:tcW w:w="4050" w:type="dxa"/>
          </w:tcPr>
          <w:p w:rsidR="00EB39B7" w:rsidRPr="00127736" w:rsidRDefault="00EB39B7" w:rsidP="00525967">
            <w:pPr>
              <w:rPr>
                <w:rFonts w:ascii="Arial" w:eastAsia="Gulim" w:hAnsi="Arial" w:cs="Arial"/>
                <w:b/>
                <w:sz w:val="22"/>
                <w:szCs w:val="22"/>
              </w:rPr>
            </w:pPr>
            <w:r w:rsidRPr="00127736">
              <w:rPr>
                <w:rFonts w:ascii="Arial" w:eastAsia="Gulim" w:hAnsi="Arial" w:cs="Arial"/>
                <w:b/>
                <w:sz w:val="22"/>
                <w:szCs w:val="22"/>
              </w:rPr>
              <w:t>Entrepreneurial Finance</w:t>
            </w:r>
          </w:p>
          <w:p w:rsidR="00EB39B7" w:rsidRPr="005C1F39" w:rsidRDefault="00EB39B7" w:rsidP="00525967">
            <w:pPr>
              <w:rPr>
                <w:rFonts w:ascii="Arial" w:eastAsia="Gulim" w:hAnsi="Arial" w:cs="Arial"/>
                <w:sz w:val="22"/>
                <w:szCs w:val="22"/>
              </w:rPr>
            </w:pPr>
            <w:r w:rsidRPr="005C1F39">
              <w:rPr>
                <w:rFonts w:ascii="Arial" w:eastAsia="Gulim" w:hAnsi="Arial" w:cs="Arial"/>
                <w:sz w:val="22"/>
                <w:szCs w:val="22"/>
              </w:rPr>
              <w:t xml:space="preserve">Finance </w:t>
            </w:r>
            <w:r>
              <w:rPr>
                <w:rFonts w:ascii="Arial" w:eastAsia="Gulim" w:hAnsi="Arial" w:cs="Arial"/>
                <w:sz w:val="22"/>
                <w:szCs w:val="22"/>
              </w:rPr>
              <w:t xml:space="preserve">B </w:t>
            </w:r>
            <w:r w:rsidR="00FC1777">
              <w:rPr>
                <w:rFonts w:ascii="Arial" w:eastAsia="Gulim" w:hAnsi="Arial" w:cs="Arial"/>
                <w:sz w:val="22"/>
                <w:szCs w:val="22"/>
              </w:rPr>
              <w:t>8</w:t>
            </w:r>
            <w:r>
              <w:rPr>
                <w:rFonts w:ascii="Arial" w:eastAsia="Gulim" w:hAnsi="Arial" w:cs="Arial"/>
                <w:sz w:val="22"/>
                <w:szCs w:val="22"/>
              </w:rPr>
              <w:t>345</w:t>
            </w:r>
          </w:p>
          <w:p w:rsidR="00EB39B7" w:rsidRDefault="00EB39B7" w:rsidP="00525967">
            <w:pPr>
              <w:rPr>
                <w:rFonts w:ascii="Arial" w:eastAsia="Gulim" w:hAnsi="Arial" w:cs="Arial"/>
                <w:sz w:val="22"/>
                <w:szCs w:val="22"/>
              </w:rPr>
            </w:pPr>
            <w:r w:rsidRPr="005C1F39">
              <w:rPr>
                <w:rFonts w:ascii="Arial" w:eastAsia="Gulim" w:hAnsi="Arial" w:cs="Arial"/>
                <w:sz w:val="22"/>
                <w:szCs w:val="22"/>
              </w:rPr>
              <w:t xml:space="preserve">Division of Finance and Economics </w:t>
            </w:r>
          </w:p>
          <w:p w:rsidR="00EB39B7" w:rsidRPr="005C1F39" w:rsidRDefault="00FC1777" w:rsidP="00525967">
            <w:pPr>
              <w:rPr>
                <w:rFonts w:ascii="Arial" w:eastAsia="Gulim" w:hAnsi="Arial" w:cs="Arial"/>
                <w:sz w:val="22"/>
                <w:szCs w:val="22"/>
              </w:rPr>
            </w:pPr>
            <w:r>
              <w:rPr>
                <w:rFonts w:ascii="Arial" w:eastAsia="Gulim" w:hAnsi="Arial" w:cs="Arial"/>
                <w:sz w:val="22"/>
                <w:szCs w:val="22"/>
              </w:rPr>
              <w:t>Fall</w:t>
            </w:r>
            <w:r>
              <w:rPr>
                <w:rFonts w:ascii="Arial" w:eastAsia="Gulim" w:hAnsi="Arial" w:cs="Arial"/>
                <w:sz w:val="22"/>
                <w:szCs w:val="22"/>
              </w:rPr>
              <w:t xml:space="preserve"> </w:t>
            </w:r>
            <w:r w:rsidR="00EB39B7">
              <w:rPr>
                <w:rFonts w:ascii="Arial" w:eastAsia="Gulim" w:hAnsi="Arial" w:cs="Arial"/>
                <w:sz w:val="22"/>
                <w:szCs w:val="22"/>
              </w:rPr>
              <w:t>2016</w:t>
            </w:r>
          </w:p>
          <w:p w:rsidR="00EB39B7" w:rsidRPr="005C1F39" w:rsidRDefault="00FC1777" w:rsidP="00525967">
            <w:pPr>
              <w:rPr>
                <w:rFonts w:ascii="Arial" w:eastAsia="Gulim" w:hAnsi="Arial" w:cs="Arial"/>
                <w:sz w:val="22"/>
                <w:szCs w:val="22"/>
              </w:rPr>
            </w:pPr>
            <w:r>
              <w:rPr>
                <w:rFonts w:ascii="Arial" w:eastAsia="Gulim" w:hAnsi="Arial" w:cs="Arial"/>
                <w:sz w:val="22"/>
                <w:szCs w:val="22"/>
              </w:rPr>
              <w:t>August 29</w:t>
            </w:r>
            <w:r w:rsidR="00EB39B7">
              <w:rPr>
                <w:rFonts w:ascii="Arial" w:eastAsia="Gulim" w:hAnsi="Arial" w:cs="Arial"/>
                <w:sz w:val="22"/>
                <w:szCs w:val="22"/>
              </w:rPr>
              <w:t xml:space="preserve"> – </w:t>
            </w:r>
            <w:r>
              <w:rPr>
                <w:rFonts w:ascii="Arial" w:eastAsia="Gulim" w:hAnsi="Arial" w:cs="Arial"/>
                <w:sz w:val="22"/>
                <w:szCs w:val="22"/>
              </w:rPr>
              <w:t>September 2</w:t>
            </w:r>
            <w:r w:rsidR="00EB39B7">
              <w:rPr>
                <w:rFonts w:ascii="Arial" w:eastAsia="Gulim" w:hAnsi="Arial" w:cs="Arial"/>
                <w:sz w:val="22"/>
                <w:szCs w:val="22"/>
              </w:rPr>
              <w:t>, 2016</w:t>
            </w:r>
          </w:p>
          <w:p w:rsidR="00EB39B7" w:rsidRDefault="00EB39B7" w:rsidP="00525967">
            <w:pPr>
              <w:rPr>
                <w:rFonts w:ascii="Arial" w:eastAsia="Gulim" w:hAnsi="Arial" w:cs="Arial"/>
                <w:sz w:val="22"/>
                <w:szCs w:val="22"/>
              </w:rPr>
            </w:pPr>
            <w:r w:rsidRPr="00740912">
              <w:rPr>
                <w:rFonts w:ascii="Arial" w:eastAsia="Gulim" w:hAnsi="Arial" w:cs="Arial"/>
                <w:sz w:val="22"/>
                <w:szCs w:val="22"/>
              </w:rPr>
              <w:t>8:00 AM – 6:00 PM</w:t>
            </w:r>
          </w:p>
          <w:p w:rsidR="00EB39B7" w:rsidRPr="008151E5" w:rsidRDefault="00EB39B7" w:rsidP="00525967">
            <w:pPr>
              <w:rPr>
                <w:rFonts w:ascii="Arial" w:eastAsia="Gulim" w:hAnsi="Arial" w:cs="Arial"/>
                <w:sz w:val="22"/>
                <w:szCs w:val="22"/>
              </w:rPr>
            </w:pPr>
            <w:r>
              <w:rPr>
                <w:rFonts w:ascii="Arial" w:eastAsia="Gulim" w:hAnsi="Arial" w:cs="Arial"/>
                <w:sz w:val="22"/>
                <w:szCs w:val="22"/>
              </w:rPr>
              <w:t>Uris 142</w:t>
            </w:r>
          </w:p>
          <w:p w:rsidR="00EB39B7" w:rsidRPr="000B0F35" w:rsidRDefault="00EB39B7" w:rsidP="00525967">
            <w:pPr>
              <w:rPr>
                <w:rFonts w:ascii="Arial" w:eastAsia="Gulim" w:hAnsi="Arial" w:cs="Arial"/>
                <w:sz w:val="22"/>
                <w:szCs w:val="22"/>
                <w:u w:val="single"/>
              </w:rPr>
            </w:pPr>
          </w:p>
        </w:tc>
        <w:tc>
          <w:tcPr>
            <w:tcW w:w="630" w:type="dxa"/>
          </w:tcPr>
          <w:p w:rsidR="00EB39B7" w:rsidRPr="000B0F35" w:rsidRDefault="00EB39B7" w:rsidP="00525967">
            <w:pPr>
              <w:rPr>
                <w:rFonts w:ascii="Arial" w:eastAsia="Gulim" w:hAnsi="Arial" w:cs="Arial"/>
                <w:sz w:val="22"/>
                <w:szCs w:val="22"/>
                <w:u w:val="single"/>
              </w:rPr>
            </w:pPr>
          </w:p>
        </w:tc>
        <w:tc>
          <w:tcPr>
            <w:tcW w:w="4500" w:type="dxa"/>
          </w:tcPr>
          <w:p w:rsidR="00EB39B7" w:rsidRPr="00AF484B" w:rsidRDefault="00EB39B7" w:rsidP="00525967">
            <w:pPr>
              <w:jc w:val="right"/>
              <w:rPr>
                <w:rFonts w:ascii="Arial" w:eastAsia="Gulim" w:hAnsi="Arial" w:cs="Arial"/>
                <w:sz w:val="22"/>
                <w:szCs w:val="22"/>
                <w:lang w:val="de-DE"/>
              </w:rPr>
            </w:pPr>
            <w:r w:rsidRPr="00AF484B">
              <w:rPr>
                <w:rFonts w:ascii="Arial" w:eastAsia="Gulim" w:hAnsi="Arial" w:cs="Arial"/>
                <w:sz w:val="22"/>
                <w:szCs w:val="22"/>
                <w:lang w:val="de-DE"/>
              </w:rPr>
              <w:t>Glenn Hubbard/Uris 101</w:t>
            </w:r>
          </w:p>
          <w:p w:rsidR="00EB39B7" w:rsidRPr="00AF484B" w:rsidRDefault="00193EAB" w:rsidP="00525967">
            <w:pPr>
              <w:jc w:val="right"/>
              <w:rPr>
                <w:rFonts w:ascii="Arial" w:eastAsia="Gulim" w:hAnsi="Arial" w:cs="Arial"/>
                <w:sz w:val="22"/>
                <w:szCs w:val="22"/>
                <w:lang w:val="de-DE"/>
              </w:rPr>
            </w:pPr>
            <w:hyperlink r:id="rId7" w:history="1">
              <w:r w:rsidR="00B54CE5" w:rsidRPr="00CF1E07">
                <w:rPr>
                  <w:rStyle w:val="Hyperlink"/>
                  <w:rFonts w:ascii="Arial" w:eastAsia="Gulim" w:hAnsi="Arial" w:cs="Arial"/>
                  <w:b/>
                  <w:bCs/>
                  <w:sz w:val="22"/>
                  <w:szCs w:val="22"/>
                  <w:lang w:val="de-DE"/>
                </w:rPr>
                <w:t>rgh1@gsb.columbia.edu</w:t>
              </w:r>
            </w:hyperlink>
            <w:r w:rsidR="00EB39B7" w:rsidRPr="00AF484B">
              <w:rPr>
                <w:rFonts w:ascii="Arial" w:eastAsia="Gulim" w:hAnsi="Arial" w:cs="Arial"/>
                <w:b/>
                <w:bCs/>
                <w:sz w:val="22"/>
                <w:szCs w:val="22"/>
                <w:lang w:val="de-DE"/>
              </w:rPr>
              <w:t>/</w:t>
            </w:r>
            <w:r w:rsidR="00EB39B7">
              <w:rPr>
                <w:rFonts w:ascii="Arial" w:eastAsia="Gulim" w:hAnsi="Arial" w:cs="Arial"/>
                <w:sz w:val="22"/>
                <w:szCs w:val="22"/>
                <w:lang w:val="de-DE"/>
              </w:rPr>
              <w:t>854.</w:t>
            </w:r>
            <w:r w:rsidR="00EB39B7" w:rsidRPr="00AF484B">
              <w:rPr>
                <w:rFonts w:ascii="Arial" w:eastAsia="Gulim" w:hAnsi="Arial" w:cs="Arial"/>
                <w:sz w:val="22"/>
                <w:szCs w:val="22"/>
                <w:lang w:val="de-DE"/>
              </w:rPr>
              <w:t>2888</w:t>
            </w:r>
          </w:p>
          <w:p w:rsidR="00EB39B7" w:rsidRPr="00AF484B" w:rsidRDefault="00EB39B7" w:rsidP="00525967">
            <w:pPr>
              <w:jc w:val="right"/>
              <w:rPr>
                <w:rFonts w:ascii="Arial" w:eastAsia="Gulim" w:hAnsi="Arial" w:cs="Arial"/>
                <w:sz w:val="22"/>
                <w:szCs w:val="22"/>
                <w:lang w:val="de-DE"/>
              </w:rPr>
            </w:pPr>
            <w:r w:rsidRPr="00AF484B">
              <w:rPr>
                <w:rFonts w:ascii="Arial" w:eastAsia="Gulim" w:hAnsi="Arial" w:cs="Arial"/>
                <w:sz w:val="22"/>
                <w:szCs w:val="22"/>
                <w:lang w:val="de-DE"/>
              </w:rPr>
              <w:t>Michael Keehner/Uris 218</w:t>
            </w:r>
          </w:p>
          <w:p w:rsidR="00EB39B7" w:rsidRPr="00AF484B" w:rsidRDefault="00EB39B7" w:rsidP="00525967">
            <w:pPr>
              <w:jc w:val="right"/>
              <w:rPr>
                <w:rFonts w:ascii="Arial" w:eastAsia="Gulim" w:hAnsi="Arial" w:cs="Arial"/>
                <w:b/>
                <w:sz w:val="22"/>
                <w:szCs w:val="22"/>
                <w:lang w:val="de-DE"/>
              </w:rPr>
            </w:pPr>
            <w:r w:rsidRPr="00AF484B">
              <w:rPr>
                <w:rFonts w:ascii="Arial" w:eastAsia="Gulim" w:hAnsi="Arial" w:cs="Arial"/>
                <w:b/>
                <w:sz w:val="22"/>
                <w:szCs w:val="22"/>
                <w:lang w:val="de-DE"/>
              </w:rPr>
              <w:t>mk2561@</w:t>
            </w:r>
            <w:r w:rsidR="00B54CE5">
              <w:rPr>
                <w:rFonts w:ascii="Arial" w:eastAsia="Gulim" w:hAnsi="Arial" w:cs="Arial"/>
                <w:b/>
                <w:sz w:val="22"/>
                <w:szCs w:val="22"/>
                <w:lang w:val="de-DE"/>
              </w:rPr>
              <w:t>gsb.</w:t>
            </w:r>
            <w:r w:rsidRPr="00AF484B">
              <w:rPr>
                <w:rFonts w:ascii="Arial" w:eastAsia="Gulim" w:hAnsi="Arial" w:cs="Arial"/>
                <w:b/>
                <w:sz w:val="22"/>
                <w:szCs w:val="22"/>
                <w:lang w:val="de-DE"/>
              </w:rPr>
              <w:t>columbia.edu/</w:t>
            </w:r>
            <w:r w:rsidR="00B54CE5">
              <w:rPr>
                <w:rFonts w:ascii="Arial" w:eastAsia="Gulim" w:hAnsi="Arial" w:cs="Arial"/>
                <w:sz w:val="22"/>
                <w:szCs w:val="22"/>
                <w:lang w:val="de-DE"/>
              </w:rPr>
              <w:t>212.207.3255</w:t>
            </w:r>
          </w:p>
          <w:p w:rsidR="00EB39B7" w:rsidRPr="00AF484B" w:rsidRDefault="00EB39B7" w:rsidP="00525967">
            <w:pPr>
              <w:jc w:val="right"/>
              <w:rPr>
                <w:rFonts w:ascii="Arial" w:eastAsia="Gulim" w:hAnsi="Arial" w:cs="Arial"/>
                <w:sz w:val="22"/>
                <w:szCs w:val="22"/>
              </w:rPr>
            </w:pPr>
            <w:r>
              <w:rPr>
                <w:rFonts w:ascii="Arial" w:eastAsia="Gulim" w:hAnsi="Arial" w:cs="Arial"/>
                <w:sz w:val="22"/>
                <w:szCs w:val="22"/>
              </w:rPr>
              <w:t>Morten Sorensen</w:t>
            </w:r>
          </w:p>
          <w:p w:rsidR="00EB39B7" w:rsidRPr="00AF484B" w:rsidRDefault="00193EAB" w:rsidP="00525967">
            <w:pPr>
              <w:jc w:val="right"/>
              <w:rPr>
                <w:rFonts w:ascii="Arial" w:eastAsia="Gulim" w:hAnsi="Arial" w:cs="Arial"/>
                <w:b/>
                <w:sz w:val="22"/>
                <w:szCs w:val="22"/>
              </w:rPr>
            </w:pPr>
            <w:hyperlink r:id="rId8" w:history="1">
              <w:r w:rsidR="00B54CE5" w:rsidRPr="00CF1E07">
                <w:rPr>
                  <w:rStyle w:val="Hyperlink"/>
                  <w:rFonts w:ascii="Arial" w:eastAsia="Gulim" w:hAnsi="Arial" w:cs="Arial"/>
                  <w:b/>
                  <w:sz w:val="22"/>
                  <w:szCs w:val="22"/>
                </w:rPr>
                <w:t>ms3814@gsb.columbia.edu</w:t>
              </w:r>
            </w:hyperlink>
          </w:p>
          <w:p w:rsidR="00EB39B7" w:rsidRPr="00127736" w:rsidRDefault="00EB39B7" w:rsidP="00525967">
            <w:pPr>
              <w:jc w:val="right"/>
              <w:rPr>
                <w:rFonts w:ascii="Arial" w:eastAsia="Gulim" w:hAnsi="Arial" w:cs="Arial"/>
                <w:b/>
                <w:sz w:val="22"/>
                <w:szCs w:val="22"/>
              </w:rPr>
            </w:pPr>
            <w:r w:rsidRPr="00AF484B">
              <w:rPr>
                <w:rFonts w:ascii="Arial" w:eastAsia="Gulim" w:hAnsi="Arial" w:cs="Arial"/>
                <w:sz w:val="22"/>
                <w:szCs w:val="22"/>
              </w:rPr>
              <w:t>Office Hours: By appointment</w:t>
            </w:r>
          </w:p>
          <w:p w:rsidR="00EB39B7" w:rsidRPr="000B0F35" w:rsidRDefault="00EB39B7" w:rsidP="00525967">
            <w:pPr>
              <w:jc w:val="right"/>
              <w:rPr>
                <w:rFonts w:ascii="Arial" w:eastAsia="Gulim" w:hAnsi="Arial" w:cs="Arial"/>
                <w:sz w:val="22"/>
                <w:szCs w:val="22"/>
                <w:u w:val="single"/>
              </w:rPr>
            </w:pPr>
          </w:p>
        </w:tc>
      </w:tr>
    </w:tbl>
    <w:p w:rsidR="00AB1CCD" w:rsidRPr="0059476B" w:rsidRDefault="00AB1CCD" w:rsidP="00AB1CCD">
      <w:pPr>
        <w:rPr>
          <w:rFonts w:ascii="Arial" w:eastAsia="Gulim" w:hAnsi="Arial" w:cs="Arial"/>
          <w:b/>
          <w:sz w:val="22"/>
          <w:szCs w:val="22"/>
        </w:rPr>
      </w:pPr>
    </w:p>
    <w:p w:rsidR="00AB1CCD" w:rsidRPr="0059476B" w:rsidRDefault="00AB1CCD" w:rsidP="00AB1CCD">
      <w:pPr>
        <w:rPr>
          <w:rFonts w:ascii="Arial" w:eastAsia="Gulim" w:hAnsi="Arial" w:cs="Arial"/>
          <w:b/>
          <w:sz w:val="20"/>
          <w:szCs w:val="20"/>
        </w:rPr>
      </w:pPr>
    </w:p>
    <w:p w:rsidR="00AB1CCD" w:rsidRPr="0059476B" w:rsidRDefault="00AB1CCD" w:rsidP="00AB1CCD">
      <w:pPr>
        <w:rPr>
          <w:rFonts w:ascii="Arial" w:eastAsia="Gulim" w:hAnsi="Arial" w:cs="Arial"/>
          <w:b/>
          <w:sz w:val="20"/>
          <w:szCs w:val="20"/>
        </w:rPr>
      </w:pPr>
      <w:r w:rsidRPr="0059476B">
        <w:rPr>
          <w:rFonts w:ascii="Arial" w:eastAsia="Gulim" w:hAnsi="Arial" w:cs="Arial"/>
          <w:b/>
          <w:sz w:val="20"/>
          <w:szCs w:val="20"/>
        </w:rPr>
        <w:t>COURSE OVERVIEW</w:t>
      </w:r>
    </w:p>
    <w:p w:rsidR="00AB1CCD" w:rsidRPr="0059476B" w:rsidRDefault="00AB1CCD" w:rsidP="00AB1CCD">
      <w:pPr>
        <w:rPr>
          <w:rFonts w:ascii="Arial" w:eastAsia="Gulim" w:hAnsi="Arial" w:cs="Arial"/>
          <w:b/>
          <w:sz w:val="20"/>
          <w:szCs w:val="20"/>
          <w:u w:val="single"/>
        </w:rPr>
      </w:pPr>
    </w:p>
    <w:p w:rsidR="00AB1CCD" w:rsidRPr="0059476B" w:rsidRDefault="00AB1CCD" w:rsidP="00AB1CCD">
      <w:pPr>
        <w:rPr>
          <w:rFonts w:ascii="Arial" w:eastAsia="Gulim" w:hAnsi="Arial" w:cs="Arial"/>
          <w:sz w:val="20"/>
          <w:szCs w:val="20"/>
        </w:rPr>
      </w:pPr>
      <w:r w:rsidRPr="0059476B">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rsidR="00AB1CCD" w:rsidRPr="0059476B" w:rsidRDefault="00AB1CCD" w:rsidP="00AB1CCD">
      <w:pPr>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contracting; while present-day financial decisions may have a profound influence on the available range of future options and choices.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r w:rsidRPr="0059476B">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59476B">
        <w:rPr>
          <w:rFonts w:ascii="Arial" w:eastAsia="Gulim" w:hAnsi="Arial" w:cs="Arial"/>
          <w:i/>
          <w:sz w:val="20"/>
          <w:szCs w:val="20"/>
        </w:rPr>
        <w:t>Capitalism</w:t>
      </w:r>
      <w:r w:rsidRPr="0059476B">
        <w:rPr>
          <w:rFonts w:ascii="Arial" w:eastAsia="Gulim" w:hAnsi="Arial" w:cs="Arial"/>
          <w:sz w:val="20"/>
          <w:szCs w:val="20"/>
        </w:rPr>
        <w:t xml:space="preserve">, </w:t>
      </w:r>
      <w:r w:rsidRPr="0059476B">
        <w:rPr>
          <w:rFonts w:ascii="Arial" w:eastAsia="Gulim" w:hAnsi="Arial" w:cs="Arial"/>
          <w:i/>
          <w:sz w:val="20"/>
          <w:szCs w:val="20"/>
        </w:rPr>
        <w:t>Socialism</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Democracy</w:t>
      </w:r>
      <w:r w:rsidRPr="0059476B">
        <w:rPr>
          <w:rFonts w:ascii="Arial" w:eastAsia="Gulim" w:hAnsi="Arial" w:cs="Arial"/>
          <w:sz w:val="20"/>
          <w:szCs w:val="20"/>
        </w:rPr>
        <w:t>, New York: Harper and Row, 1942, page 132.)</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Whoa!  Actually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59476B">
        <w:rPr>
          <w:rFonts w:ascii="Arial" w:eastAsia="Gulim" w:hAnsi="Arial" w:cs="Arial"/>
          <w:i/>
          <w:sz w:val="20"/>
          <w:szCs w:val="20"/>
        </w:rPr>
        <w:t>Risk</w:t>
      </w:r>
      <w:r w:rsidRPr="0059476B">
        <w:rPr>
          <w:rFonts w:ascii="Arial" w:eastAsia="Gulim" w:hAnsi="Arial" w:cs="Arial"/>
          <w:sz w:val="20"/>
          <w:szCs w:val="20"/>
        </w:rPr>
        <w:t xml:space="preserve">, </w:t>
      </w:r>
      <w:r w:rsidRPr="0059476B">
        <w:rPr>
          <w:rFonts w:ascii="Arial" w:eastAsia="Gulim" w:hAnsi="Arial" w:cs="Arial"/>
          <w:i/>
          <w:sz w:val="20"/>
          <w:szCs w:val="20"/>
        </w:rPr>
        <w:t>Uncertainty</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Profit</w:t>
      </w:r>
      <w:r w:rsidRPr="0059476B">
        <w:rPr>
          <w:rFonts w:ascii="Arial" w:eastAsia="Gulim" w:hAnsi="Arial" w:cs="Arial"/>
          <w:sz w:val="20"/>
          <w:szCs w:val="20"/>
        </w:rPr>
        <w:t>, New York: Houghton Mifflin, 1921.]  Throughout the course, we will emphasize such financial management decisions of entrepreneurial firms.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193EAB">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The capital market for financing such entrepreneurs – and private equity investing more generally – differs fundamentally from capital markets considered in standard corporate finance: First, start-ups are young, mostly unprofitable companies, with </w:t>
      </w:r>
      <w:r w:rsidRPr="0059476B">
        <w:rPr>
          <w:rFonts w:ascii="Arial" w:eastAsia="Gulim" w:hAnsi="Arial" w:cs="Arial"/>
          <w:sz w:val="20"/>
          <w:szCs w:val="20"/>
        </w:rPr>
        <w:lastRenderedPageBreak/>
        <w:t>short operating histories and little capital.  Young firms face exceptionally high degrees of uncertainty, 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w:t>
      </w:r>
      <w:r w:rsidR="007F1274" w:rsidRPr="007F1274">
        <w:rPr>
          <w:rFonts w:ascii="Arial" w:eastAsia="Gulim" w:hAnsi="Arial" w:cs="Arial"/>
          <w:sz w:val="20"/>
          <w:szCs w:val="20"/>
        </w:rPr>
        <w:t>overriding objectives</w:t>
      </w:r>
      <w:r w:rsidRPr="0059476B">
        <w:rPr>
          <w:rFonts w:ascii="Arial" w:eastAsia="Gulim" w:hAnsi="Arial" w:cs="Arial"/>
          <w:sz w:val="20"/>
          <w:szCs w:val="20"/>
        </w:rPr>
        <w:t>.  As an investor, you cannot evaluate a potential opportunity without appreciating the entrepreneur’s perspective.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59476B">
        <w:rPr>
          <w:rFonts w:ascii="Arial" w:eastAsia="Gulim" w:hAnsi="Arial" w:cs="Arial"/>
          <w:i/>
          <w:sz w:val="20"/>
          <w:szCs w:val="20"/>
        </w:rPr>
        <w:t>people</w:t>
      </w:r>
      <w:r w:rsidRPr="0059476B">
        <w:rPr>
          <w:rFonts w:ascii="Arial" w:eastAsia="Gulim" w:hAnsi="Arial" w:cs="Arial"/>
          <w:sz w:val="20"/>
          <w:szCs w:val="20"/>
        </w:rPr>
        <w:t xml:space="preserve">, </w:t>
      </w:r>
      <w:r w:rsidRPr="0059476B">
        <w:rPr>
          <w:rFonts w:ascii="Arial" w:eastAsia="Gulim" w:hAnsi="Arial" w:cs="Arial"/>
          <w:i/>
          <w:sz w:val="20"/>
          <w:szCs w:val="20"/>
        </w:rPr>
        <w:t>opportunity</w:t>
      </w:r>
      <w:r w:rsidRPr="0059476B">
        <w:rPr>
          <w:rFonts w:ascii="Arial" w:eastAsia="Gulim" w:hAnsi="Arial" w:cs="Arial"/>
          <w:sz w:val="20"/>
          <w:szCs w:val="20"/>
        </w:rPr>
        <w:t xml:space="preserve">, </w:t>
      </w:r>
      <w:r w:rsidRPr="0059476B">
        <w:rPr>
          <w:rFonts w:ascii="Arial" w:eastAsia="Gulim" w:hAnsi="Arial" w:cs="Arial"/>
          <w:i/>
          <w:sz w:val="20"/>
          <w:szCs w:val="20"/>
        </w:rPr>
        <w:t>context</w:t>
      </w:r>
      <w:r w:rsidRPr="0059476B">
        <w:rPr>
          <w:rFonts w:ascii="Arial" w:eastAsia="Gulim" w:hAnsi="Arial" w:cs="Arial"/>
          <w:sz w:val="20"/>
          <w:szCs w:val="20"/>
        </w:rPr>
        <w:t xml:space="preserve">, and the </w:t>
      </w:r>
      <w:r w:rsidRPr="0059476B">
        <w:rPr>
          <w:rFonts w:ascii="Arial" w:eastAsia="Gulim" w:hAnsi="Arial" w:cs="Arial"/>
          <w:i/>
          <w:sz w:val="20"/>
          <w:szCs w:val="20"/>
        </w:rPr>
        <w:t>deal</w:t>
      </w:r>
      <w:r w:rsidRPr="0059476B">
        <w:rPr>
          <w:rFonts w:ascii="Arial" w:eastAsia="Gulim" w:hAnsi="Arial" w:cs="Arial"/>
          <w:sz w:val="20"/>
          <w:szCs w:val="20"/>
        </w:rPr>
        <w:t xml:space="preserve">.  Our case analyses will follow this general framework.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1: Identifying and Capturing Opportunity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Additionally, we discuss and value two types of real options that are prominent in entrepreneurial finance: (1) growth options and (2) staged investments.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Discounted Cash Flows (“DCF”); Top-down vs. bottom-up projections; VC capital method; Pre- and post-money valuations; People-Context-Opportunity-Deal; real options; growth options; milestones and staged financing; Black-Scholes.</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rPr>
          <w:rFonts w:ascii="Arial" w:eastAsia="Gulim" w:hAnsi="Arial" w:cs="Arial"/>
          <w:sz w:val="20"/>
          <w:szCs w:val="20"/>
        </w:rPr>
      </w:pPr>
      <w:r w:rsidRPr="0059476B">
        <w:rPr>
          <w:rFonts w:ascii="Arial" w:eastAsia="Gulim" w:hAnsi="Arial" w:cs="Arial"/>
          <w:b/>
          <w:sz w:val="20"/>
          <w:szCs w:val="20"/>
        </w:rPr>
        <w:t>Cases:</w:t>
      </w:r>
      <w:r w:rsidRPr="0059476B">
        <w:rPr>
          <w:rFonts w:ascii="Arial" w:eastAsia="Gulim" w:hAnsi="Arial" w:cs="Arial"/>
          <w:sz w:val="20"/>
          <w:szCs w:val="20"/>
        </w:rPr>
        <w:t xml:space="preserve"> Technical Data Corporation Business Plan, Technical Data Corporation</w:t>
      </w:r>
      <w:r>
        <w:rPr>
          <w:rFonts w:ascii="Arial" w:eastAsia="Gulim" w:hAnsi="Arial" w:cs="Arial"/>
          <w:sz w:val="20"/>
          <w:szCs w:val="20"/>
        </w:rPr>
        <w:t xml:space="preserve">, </w:t>
      </w:r>
      <w:r w:rsidR="00FC1777">
        <w:rPr>
          <w:rFonts w:ascii="Arial" w:eastAsia="Gulim" w:hAnsi="Arial" w:cs="Arial"/>
          <w:sz w:val="20"/>
          <w:szCs w:val="20"/>
        </w:rPr>
        <w:t xml:space="preserve">Fiscal Note, </w:t>
      </w:r>
      <w:r>
        <w:rPr>
          <w:rFonts w:ascii="Arial" w:eastAsia="Gulim" w:hAnsi="Arial" w:cs="Arial"/>
          <w:sz w:val="20"/>
          <w:szCs w:val="20"/>
        </w:rPr>
        <w:t xml:space="preserve">Telewizja Wisla, </w:t>
      </w:r>
      <w:r w:rsidRPr="0059476B">
        <w:rPr>
          <w:rFonts w:ascii="Arial" w:eastAsia="Gulim" w:hAnsi="Arial" w:cs="Arial"/>
          <w:sz w:val="20"/>
          <w:szCs w:val="20"/>
        </w:rPr>
        <w:t>Lotus, Genset</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lastRenderedPageBreak/>
        <w:t>Module 2: Doing Deals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w:t>
      </w:r>
      <w:r w:rsidR="007F1274">
        <w:rPr>
          <w:rFonts w:ascii="Arial" w:eastAsia="Gulim" w:hAnsi="Arial" w:cs="Arial"/>
          <w:sz w:val="20"/>
          <w:szCs w:val="20"/>
        </w:rPr>
        <w:t xml:space="preserve">  </w:t>
      </w:r>
      <w:r w:rsidR="007F1274" w:rsidRPr="007F1274">
        <w:rPr>
          <w:rFonts w:ascii="Arial" w:eastAsia="Gulim" w:hAnsi="Arial" w:cs="Arial"/>
          <w:sz w:val="20"/>
          <w:szCs w:val="20"/>
        </w:rPr>
        <w:t xml:space="preserve">And, we will do a classroom negotiation to simulate and learn from the “real” conditions of a term negotiation.  </w:t>
      </w:r>
      <w:r w:rsidRPr="0059476B">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Term sheet; convertible (participating) preferred shares; liquidation preference; friends and family financing; angel investors; venture capital; strategic investors; control versus ownership; outside options (second-best alternatives, “best alternative to a negotiated agreement”).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00BF75C2">
        <w:rPr>
          <w:rFonts w:ascii="Arial" w:eastAsia="Gulim" w:hAnsi="Arial" w:cs="Arial"/>
          <w:sz w:val="20"/>
          <w:szCs w:val="20"/>
        </w:rPr>
        <w:t>Sunrise</w:t>
      </w:r>
      <w:r w:rsidRPr="0059476B">
        <w:rPr>
          <w:rFonts w:ascii="Arial" w:eastAsia="Gulim" w:hAnsi="Arial" w:cs="Arial"/>
          <w:sz w:val="20"/>
          <w:szCs w:val="20"/>
        </w:rPr>
        <w:t xml:space="preserve">, Circles, </w:t>
      </w:r>
      <w:r w:rsidRPr="0059476B">
        <w:rPr>
          <w:rFonts w:ascii="Arial" w:eastAsia="Gulim" w:hAnsi="Arial" w:cs="Arial"/>
          <w:i/>
          <w:sz w:val="20"/>
          <w:szCs w:val="20"/>
        </w:rPr>
        <w:t>Parenting</w:t>
      </w:r>
      <w:r w:rsidRPr="0059476B">
        <w:rPr>
          <w:rFonts w:ascii="Arial" w:eastAsia="Gulim" w:hAnsi="Arial" w:cs="Arial"/>
          <w:sz w:val="20"/>
          <w:szCs w:val="20"/>
        </w:rPr>
        <w:t xml:space="preserve"> Magazine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3: Exit</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Exits and liquidity events, initial public offering, and acquisition.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Pr="0059476B">
        <w:rPr>
          <w:rFonts w:ascii="Arial" w:eastAsia="Gulim" w:hAnsi="Arial" w:cs="Arial"/>
          <w:sz w:val="20"/>
          <w:szCs w:val="20"/>
        </w:rPr>
        <w:t>ArthroCare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4: Private Equity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conclude the course by integrating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 xml:space="preserve">Limited partnership, partnership agreement, general and limited partners, management fees, </w:t>
      </w:r>
      <w:bookmarkStart w:id="0" w:name="_GoBack"/>
      <w:bookmarkEnd w:id="0"/>
      <w:r w:rsidRPr="0059476B">
        <w:rPr>
          <w:rFonts w:ascii="Arial" w:eastAsia="Gulim" w:hAnsi="Arial" w:cs="Arial"/>
          <w:sz w:val="20"/>
          <w:szCs w:val="20"/>
        </w:rPr>
        <w:t>carried interest, waterfall, early/late carry, clawback, private equity governance model.</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lastRenderedPageBreak/>
        <w:t>COURSE REQUIREMENTS AND GRADING</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i/>
          <w:sz w:val="20"/>
          <w:szCs w:val="20"/>
        </w:rPr>
        <w:t>This course requires substantial preparation</w:t>
      </w:r>
      <w:r w:rsidRPr="0059476B">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will be also be provided for your guidance with each case assigned. </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1"/>
        </w:numPr>
        <w:autoSpaceDE/>
        <w:autoSpaceDN/>
        <w:adjustRightInd/>
        <w:rPr>
          <w:rFonts w:ascii="Arial" w:eastAsia="Gulim" w:hAnsi="Arial" w:cs="Arial"/>
          <w:i/>
          <w:sz w:val="20"/>
          <w:szCs w:val="20"/>
        </w:rPr>
      </w:pPr>
      <w:r w:rsidRPr="0059476B">
        <w:rPr>
          <w:rFonts w:ascii="Arial" w:eastAsia="Gulim" w:hAnsi="Arial" w:cs="Arial"/>
          <w:i/>
          <w:sz w:val="20"/>
          <w:szCs w:val="20"/>
        </w:rPr>
        <w:t>Active class participation is an important component of this course, and it will count for one-third of your course grade.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will also distribute three ungraded problem sets (on valuation, deal terms, and real options).  Solutions will be posted on the course website (CANVAS).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Students will be responsible for submitting a two-page memorandum of analysis and recommendation addressed to the major decision maker at the beginning of each case-related class session.  </w:t>
      </w:r>
      <w:r>
        <w:rPr>
          <w:rFonts w:ascii="Arial" w:eastAsia="Gulim" w:hAnsi="Arial" w:cs="Arial"/>
          <w:sz w:val="20"/>
          <w:szCs w:val="20"/>
        </w:rPr>
        <w:t>Write-ups are not required for the TDC Business Plan</w:t>
      </w:r>
      <w:r w:rsidR="00530518">
        <w:rPr>
          <w:rFonts w:ascii="Arial" w:eastAsia="Gulim" w:hAnsi="Arial" w:cs="Arial"/>
          <w:sz w:val="20"/>
          <w:szCs w:val="20"/>
        </w:rPr>
        <w:t xml:space="preserve">, </w:t>
      </w:r>
      <w:r w:rsidR="00B57CD6">
        <w:rPr>
          <w:rFonts w:ascii="Arial" w:eastAsia="Gulim" w:hAnsi="Arial" w:cs="Arial"/>
          <w:sz w:val="20"/>
          <w:szCs w:val="20"/>
        </w:rPr>
        <w:t>BioLite</w:t>
      </w:r>
      <w:r w:rsidR="00FC1777">
        <w:rPr>
          <w:rFonts w:ascii="Arial" w:eastAsia="Gulim" w:hAnsi="Arial" w:cs="Arial"/>
          <w:sz w:val="20"/>
          <w:szCs w:val="20"/>
        </w:rPr>
        <w:t xml:space="preserve"> Fiscal Note,</w:t>
      </w:r>
      <w:r w:rsidR="00193EAB">
        <w:rPr>
          <w:rFonts w:ascii="Arial" w:eastAsia="Gulim" w:hAnsi="Arial" w:cs="Arial"/>
          <w:sz w:val="20"/>
          <w:szCs w:val="20"/>
        </w:rPr>
        <w:t xml:space="preserve"> </w:t>
      </w:r>
      <w:r w:rsidR="00530518">
        <w:rPr>
          <w:rFonts w:ascii="Arial" w:eastAsia="Gulim" w:hAnsi="Arial" w:cs="Arial"/>
          <w:sz w:val="20"/>
          <w:szCs w:val="20"/>
        </w:rPr>
        <w:t>and Lotus</w:t>
      </w:r>
      <w:r>
        <w:rPr>
          <w:rFonts w:ascii="Arial" w:eastAsia="Gulim" w:hAnsi="Arial" w:cs="Arial"/>
          <w:sz w:val="20"/>
          <w:szCs w:val="20"/>
        </w:rPr>
        <w:t xml:space="preserve"> cases.  </w:t>
      </w:r>
      <w:r w:rsidRPr="0059476B">
        <w:rPr>
          <w:rFonts w:ascii="Arial" w:eastAsia="Gulim" w:hAnsi="Arial" w:cs="Arial"/>
          <w:sz w:val="20"/>
          <w:szCs w:val="20"/>
        </w:rPr>
        <w:t xml:space="preserve">Group memoranda are acceptable:  No more than five students </w:t>
      </w:r>
      <w:r>
        <w:rPr>
          <w:rFonts w:ascii="Arial" w:eastAsia="Gulim" w:hAnsi="Arial" w:cs="Arial"/>
          <w:sz w:val="20"/>
          <w:szCs w:val="20"/>
        </w:rPr>
        <w:t>should be in a</w:t>
      </w:r>
      <w:r w:rsidRPr="0059476B">
        <w:rPr>
          <w:rFonts w:ascii="Arial" w:eastAsia="Gulim" w:hAnsi="Arial" w:cs="Arial"/>
          <w:sz w:val="20"/>
          <w:szCs w:val="20"/>
        </w:rPr>
        <w:t xml:space="preserve"> group; once formed, groups will work together for the week.  You may attach as many numerical calculations as necessary to support the two-page written memoranda of analysis and recommendation.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widowControl/>
        <w:numPr>
          <w:ilvl w:val="0"/>
          <w:numId w:val="2"/>
        </w:numPr>
        <w:autoSpaceDE/>
        <w:autoSpaceDN/>
        <w:adjustRightInd/>
        <w:rPr>
          <w:rFonts w:ascii="Arial" w:eastAsia="Gulim" w:hAnsi="Arial" w:cs="Arial"/>
          <w:i/>
          <w:sz w:val="20"/>
          <w:szCs w:val="20"/>
        </w:rPr>
      </w:pPr>
      <w:r w:rsidRPr="0059476B">
        <w:rPr>
          <w:rFonts w:ascii="Arial" w:eastAsia="Gulim" w:hAnsi="Arial" w:cs="Arial"/>
          <w:i/>
          <w:sz w:val="20"/>
          <w:szCs w:val="20"/>
        </w:rPr>
        <w:t>These memoranda grades will count for one-third of your course grade.  Groups should submit memoranda for all cases; we will record the best five grades.</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3"/>
        </w:numPr>
        <w:autoSpaceDE/>
        <w:autoSpaceDN/>
        <w:adjustRightInd/>
        <w:rPr>
          <w:rFonts w:ascii="Arial" w:eastAsia="Gulim" w:hAnsi="Arial" w:cs="Arial"/>
          <w:i/>
          <w:sz w:val="20"/>
          <w:szCs w:val="20"/>
        </w:rPr>
      </w:pPr>
      <w:r w:rsidRPr="0059476B">
        <w:rPr>
          <w:rFonts w:ascii="Arial" w:eastAsia="Gulim" w:hAnsi="Arial" w:cs="Arial"/>
          <w:i/>
          <w:sz w:val="20"/>
          <w:szCs w:val="20"/>
        </w:rPr>
        <w:t xml:space="preserve">For the last third of the course grade, you will have a final examination. </w:t>
      </w:r>
    </w:p>
    <w:p w:rsidR="00AB1CCD" w:rsidRPr="0059476B" w:rsidRDefault="00AB1CCD" w:rsidP="00AB1CCD">
      <w:pPr>
        <w:ind w:left="36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final examination will be a take-home case analysis to be prepared on an individual basis and will be available on </w:t>
      </w:r>
      <w:r w:rsidR="005901A1">
        <w:rPr>
          <w:rFonts w:ascii="Arial" w:eastAsia="Gulim" w:hAnsi="Arial" w:cs="Arial"/>
          <w:sz w:val="20"/>
          <w:szCs w:val="20"/>
        </w:rPr>
        <w:t xml:space="preserve">Thursday, </w:t>
      </w:r>
      <w:r w:rsidR="00FC1777">
        <w:rPr>
          <w:rFonts w:ascii="Arial" w:eastAsia="Gulim" w:hAnsi="Arial" w:cs="Arial"/>
          <w:sz w:val="20"/>
          <w:szCs w:val="20"/>
        </w:rPr>
        <w:t>September 1</w:t>
      </w:r>
      <w:r w:rsidRPr="0059476B">
        <w:rPr>
          <w:rFonts w:ascii="Arial" w:eastAsia="Gulim" w:hAnsi="Arial" w:cs="Arial"/>
          <w:sz w:val="20"/>
          <w:szCs w:val="20"/>
        </w:rPr>
        <w:t xml:space="preserve">, to be submitted on the morning of </w:t>
      </w:r>
      <w:r w:rsidR="005901A1">
        <w:rPr>
          <w:rFonts w:ascii="Arial" w:eastAsia="Gulim" w:hAnsi="Arial" w:cs="Arial"/>
          <w:sz w:val="20"/>
          <w:szCs w:val="20"/>
        </w:rPr>
        <w:t xml:space="preserve">Friday, </w:t>
      </w:r>
      <w:r w:rsidR="00FC1777">
        <w:rPr>
          <w:rFonts w:ascii="Arial" w:eastAsia="Gulim" w:hAnsi="Arial" w:cs="Arial"/>
          <w:sz w:val="20"/>
          <w:szCs w:val="20"/>
        </w:rPr>
        <w:t>September 2</w:t>
      </w:r>
      <w:r w:rsidR="00EB39B7">
        <w:rPr>
          <w:rFonts w:ascii="Arial" w:eastAsia="Gulim" w:hAnsi="Arial" w:cs="Arial"/>
          <w:sz w:val="20"/>
          <w:szCs w:val="20"/>
        </w:rPr>
        <w:t>.</w:t>
      </w:r>
      <w:r w:rsidRPr="0059476B">
        <w:rPr>
          <w:rFonts w:ascii="Arial" w:eastAsia="Gulim" w:hAnsi="Arial" w:cs="Arial"/>
          <w:sz w:val="20"/>
          <w:szCs w:val="20"/>
        </w:rPr>
        <w:t>  </w:t>
      </w:r>
      <w:r w:rsidRPr="0059476B" w:rsidDel="004361C2">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COURSE MATERIALS AND INFORMATION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 reading materials are listed in at the end of this syllabus, and more materials are available (and on Reserve) on the CBS Watson library website: </w:t>
      </w:r>
      <w:hyperlink r:id="rId9" w:history="1">
        <w:r w:rsidRPr="0059476B">
          <w:rPr>
            <w:rFonts w:ascii="Arial" w:eastAsia="Gulim" w:hAnsi="Arial" w:cs="Arial"/>
            <w:sz w:val="20"/>
            <w:szCs w:val="20"/>
          </w:rPr>
          <w:t>http://library.columbia.edu/subject-guides/business/entrepreneurship.html</w:t>
        </w:r>
      </w:hyperlink>
      <w:r w:rsidRPr="0059476B">
        <w:rPr>
          <w:rFonts w:ascii="Arial" w:eastAsia="Gulim" w:hAnsi="Arial" w:cs="Arial"/>
          <w:sz w:val="20"/>
          <w:szCs w:val="20"/>
        </w:rPr>
        <w:t xml:space="preserve">.  For additional optional readings, you can come and see us.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Default="00AB1CCD" w:rsidP="00AB1CCD">
      <w:pPr>
        <w:pStyle w:val="NormalWeb"/>
        <w:spacing w:before="0" w:beforeAutospacing="0" w:after="0" w:afterAutospacing="0"/>
        <w:ind w:right="-180"/>
        <w:rPr>
          <w:rFonts w:ascii="Arial" w:eastAsia="Gulim" w:hAnsi="Arial" w:cs="Arial"/>
          <w:sz w:val="20"/>
          <w:szCs w:val="20"/>
        </w:rPr>
      </w:pPr>
      <w:r w:rsidRPr="0059476B">
        <w:rPr>
          <w:rFonts w:ascii="Arial" w:eastAsia="Gulim" w:hAnsi="Arial" w:cs="Arial"/>
          <w:sz w:val="20"/>
          <w:szCs w:val="20"/>
        </w:rPr>
        <w:t xml:space="preserve">Finally, if you are interested in related courses offered in the Columbia Business School's Entrepreneurship Program, please consult the Program's web page – </w:t>
      </w:r>
      <w:hyperlink r:id="rId10" w:history="1">
        <w:r w:rsidRPr="0059476B">
          <w:rPr>
            <w:rStyle w:val="Hyperlink"/>
            <w:rFonts w:ascii="Arial" w:eastAsia="Gulim" w:hAnsi="Arial" w:cs="Arial"/>
            <w:sz w:val="20"/>
            <w:szCs w:val="20"/>
          </w:rPr>
          <w:t>http://www4.gsb.columbia.edu/entrepreneurship</w:t>
        </w:r>
      </w:hyperlink>
      <w:r w:rsidRPr="0059476B">
        <w:rPr>
          <w:rFonts w:ascii="Arial" w:eastAsia="Gulim" w:hAnsi="Arial" w:cs="Arial"/>
          <w:sz w:val="20"/>
          <w:szCs w:val="20"/>
        </w:rPr>
        <w:t>.</w:t>
      </w:r>
    </w:p>
    <w:p w:rsidR="00AB1CCD" w:rsidRDefault="00AB1CCD" w:rsidP="00AB1CCD">
      <w:pPr>
        <w:pStyle w:val="NormalWeb"/>
        <w:spacing w:before="0" w:beforeAutospacing="0" w:after="0" w:afterAutospacing="0"/>
        <w:ind w:right="-180"/>
        <w:rPr>
          <w:rFonts w:ascii="Arial" w:eastAsia="Gulim" w:hAnsi="Arial" w:cs="Arial"/>
          <w:sz w:val="20"/>
          <w:szCs w:val="20"/>
        </w:rPr>
        <w:sectPr w:rsidR="00AB1CCD" w:rsidSect="004F2F91">
          <w:footerReference w:type="default" r:id="rId11"/>
          <w:pgSz w:w="12240" w:h="15840" w:code="1"/>
          <w:pgMar w:top="1440" w:right="1440" w:bottom="1440" w:left="1440" w:header="720" w:footer="720" w:gutter="0"/>
          <w:pgNumType w:fmt="lowerRoman"/>
          <w:cols w:space="720"/>
          <w:docGrid w:linePitch="360"/>
        </w:sectPr>
      </w:pPr>
    </w:p>
    <w:p w:rsidR="00EA4F47" w:rsidRDefault="00EA4F47" w:rsidP="00AB1CCD">
      <w:pPr>
        <w:pStyle w:val="NormalWeb"/>
        <w:spacing w:before="0" w:beforeAutospacing="0" w:after="0" w:afterAutospacing="0"/>
        <w:ind w:right="-180"/>
        <w:rPr>
          <w:rFonts w:ascii="Arial" w:eastAsia="Gulim" w:hAnsi="Arial" w:cs="Arial"/>
          <w:b/>
          <w:sz w:val="20"/>
          <w:szCs w:val="20"/>
        </w:rPr>
      </w:pPr>
    </w:p>
    <w:p w:rsidR="00AB1CCD" w:rsidRDefault="00F81A19" w:rsidP="00AB1CCD">
      <w:pPr>
        <w:pStyle w:val="NormalWeb"/>
        <w:spacing w:before="0" w:beforeAutospacing="0" w:after="0" w:afterAutospacing="0"/>
        <w:ind w:right="-180"/>
        <w:rPr>
          <w:rFonts w:ascii="Arial" w:eastAsia="Gulim" w:hAnsi="Arial" w:cs="Arial"/>
          <w:b/>
          <w:sz w:val="20"/>
          <w:szCs w:val="20"/>
        </w:rPr>
      </w:pPr>
      <w:r>
        <w:rPr>
          <w:rFonts w:ascii="Arial" w:eastAsia="Gulim" w:hAnsi="Arial" w:cs="Arial"/>
          <w:b/>
          <w:sz w:val="20"/>
          <w:szCs w:val="20"/>
        </w:rPr>
        <w:t>Game Plan</w:t>
      </w:r>
      <w:r w:rsidR="0077294D">
        <w:rPr>
          <w:rFonts w:ascii="Arial" w:eastAsia="Gulim" w:hAnsi="Arial" w:cs="Arial"/>
          <w:b/>
          <w:sz w:val="20"/>
          <w:szCs w:val="20"/>
        </w:rPr>
        <w:t xml:space="preserve"> – </w:t>
      </w:r>
      <w:r w:rsidR="001C2725">
        <w:rPr>
          <w:rFonts w:ascii="Arial" w:eastAsia="Gulim" w:hAnsi="Arial" w:cs="Arial"/>
          <w:b/>
          <w:sz w:val="20"/>
          <w:szCs w:val="20"/>
        </w:rPr>
        <w:t>S</w:t>
      </w:r>
      <w:r w:rsidR="00120A46">
        <w:rPr>
          <w:rFonts w:ascii="Arial" w:eastAsia="Gulim" w:hAnsi="Arial" w:cs="Arial"/>
          <w:b/>
          <w:sz w:val="20"/>
          <w:szCs w:val="20"/>
        </w:rPr>
        <w:t>U</w:t>
      </w:r>
      <w:r w:rsidR="001C2725">
        <w:rPr>
          <w:rFonts w:ascii="Arial" w:eastAsia="Gulim" w:hAnsi="Arial" w:cs="Arial"/>
          <w:b/>
          <w:sz w:val="20"/>
          <w:szCs w:val="20"/>
        </w:rPr>
        <w:t>2016</w:t>
      </w:r>
    </w:p>
    <w:tbl>
      <w:tblPr>
        <w:tblpPr w:leftFromText="180" w:rightFromText="180" w:vertAnchor="page" w:horzAnchor="page" w:tblpX="956" w:tblpY="1081"/>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84"/>
        <w:gridCol w:w="1251"/>
        <w:gridCol w:w="2790"/>
        <w:gridCol w:w="2959"/>
        <w:gridCol w:w="2052"/>
        <w:gridCol w:w="2091"/>
        <w:gridCol w:w="2108"/>
      </w:tblGrid>
      <w:tr w:rsidR="0015211D" w:rsidRPr="007F1614" w:rsidTr="008B74E9">
        <w:trPr>
          <w:trHeight w:val="44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Day   1</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4</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5</w:t>
            </w:r>
          </w:p>
        </w:tc>
      </w:tr>
      <w:tr w:rsidR="0015211D" w:rsidRPr="007F1614" w:rsidTr="008B74E9">
        <w:trPr>
          <w:trHeight w:val="53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Pr>
                <w:rFonts w:ascii="Calibri" w:hAnsi="Calibri" w:cs="Calibri"/>
                <w:b/>
                <w:color w:val="000000" w:themeColor="text1"/>
                <w:sz w:val="18"/>
                <w:szCs w:val="20"/>
              </w:rPr>
              <w:t>Monday</w:t>
            </w:r>
            <w:r w:rsidR="00F126DA" w:rsidRPr="007F1614">
              <w:rPr>
                <w:rFonts w:ascii="Calibri" w:hAnsi="Calibri" w:cs="Calibri"/>
                <w:b/>
                <w:color w:val="000000" w:themeColor="text1"/>
                <w:sz w:val="18"/>
                <w:szCs w:val="20"/>
              </w:rPr>
              <w:t>,</w:t>
            </w:r>
          </w:p>
          <w:p w:rsidR="00F126DA" w:rsidRPr="007F1614" w:rsidRDefault="00FC1777" w:rsidP="00E842A7">
            <w:pPr>
              <w:jc w:val="center"/>
              <w:rPr>
                <w:rFonts w:ascii="Calibri" w:hAnsi="Calibri" w:cs="Calibri"/>
                <w:color w:val="000000" w:themeColor="text1"/>
                <w:sz w:val="18"/>
                <w:szCs w:val="20"/>
              </w:rPr>
            </w:pPr>
            <w:r>
              <w:rPr>
                <w:rFonts w:ascii="Calibri" w:hAnsi="Calibri" w:cs="Calibri"/>
                <w:color w:val="000000" w:themeColor="text1"/>
                <w:sz w:val="18"/>
                <w:szCs w:val="20"/>
              </w:rPr>
              <w:t>August 29</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Tuesday</w:t>
            </w:r>
            <w:r w:rsidR="00F126DA" w:rsidRPr="007F1614">
              <w:rPr>
                <w:rFonts w:ascii="Calibri" w:hAnsi="Calibri" w:cs="Calibri"/>
                <w:b/>
                <w:color w:val="000000" w:themeColor="text1"/>
                <w:sz w:val="18"/>
                <w:szCs w:val="20"/>
              </w:rPr>
              <w:t>,</w:t>
            </w:r>
          </w:p>
          <w:p w:rsidR="00F126DA" w:rsidRPr="007F1614" w:rsidRDefault="00FC1777" w:rsidP="00E842A7">
            <w:pPr>
              <w:jc w:val="center"/>
              <w:rPr>
                <w:rFonts w:ascii="Calibri" w:hAnsi="Calibri" w:cs="Calibri"/>
                <w:color w:val="000000" w:themeColor="text1"/>
                <w:sz w:val="18"/>
                <w:szCs w:val="20"/>
              </w:rPr>
            </w:pPr>
            <w:r>
              <w:rPr>
                <w:rFonts w:ascii="Calibri" w:hAnsi="Calibri" w:cs="Calibri"/>
                <w:color w:val="000000" w:themeColor="text1"/>
                <w:sz w:val="18"/>
                <w:szCs w:val="20"/>
              </w:rPr>
              <w:t>August 30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Wednesday</w:t>
            </w:r>
            <w:r w:rsidR="00F126DA" w:rsidRPr="007F1614">
              <w:rPr>
                <w:rFonts w:ascii="Calibri" w:hAnsi="Calibri" w:cs="Calibri"/>
                <w:b/>
                <w:color w:val="000000" w:themeColor="text1"/>
                <w:sz w:val="18"/>
                <w:szCs w:val="20"/>
              </w:rPr>
              <w:t>,</w:t>
            </w:r>
          </w:p>
          <w:p w:rsidR="00F126DA" w:rsidRPr="007F1614" w:rsidRDefault="00FC1777" w:rsidP="00E842A7">
            <w:pPr>
              <w:jc w:val="center"/>
              <w:rPr>
                <w:rFonts w:ascii="Calibri" w:hAnsi="Calibri" w:cs="Calibri"/>
                <w:color w:val="000000" w:themeColor="text1"/>
                <w:sz w:val="18"/>
                <w:szCs w:val="20"/>
              </w:rPr>
            </w:pPr>
            <w:r>
              <w:rPr>
                <w:rFonts w:ascii="Calibri" w:hAnsi="Calibri" w:cs="Calibri"/>
                <w:color w:val="000000" w:themeColor="text1"/>
                <w:sz w:val="18"/>
                <w:szCs w:val="20"/>
              </w:rPr>
              <w:t>August 31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Thursday</w:t>
            </w:r>
            <w:r w:rsidR="00F126DA" w:rsidRPr="007F1614">
              <w:rPr>
                <w:rFonts w:ascii="Calibri" w:hAnsi="Calibri" w:cs="Calibri"/>
                <w:b/>
                <w:color w:val="000000" w:themeColor="text1"/>
                <w:sz w:val="18"/>
                <w:szCs w:val="20"/>
              </w:rPr>
              <w:t xml:space="preserve">, </w:t>
            </w:r>
          </w:p>
          <w:p w:rsidR="00F126DA" w:rsidRPr="007F1614" w:rsidRDefault="00FC1777" w:rsidP="005901A1">
            <w:pPr>
              <w:jc w:val="center"/>
              <w:rPr>
                <w:rFonts w:ascii="Calibri" w:hAnsi="Calibri" w:cs="Calibri"/>
                <w:color w:val="000000" w:themeColor="text1"/>
                <w:sz w:val="18"/>
                <w:szCs w:val="20"/>
              </w:rPr>
            </w:pPr>
            <w:r>
              <w:rPr>
                <w:rFonts w:ascii="Calibri" w:hAnsi="Calibri" w:cs="Calibri"/>
                <w:color w:val="000000" w:themeColor="text1"/>
                <w:sz w:val="18"/>
                <w:szCs w:val="20"/>
              </w:rPr>
              <w:t>September 1</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Pr>
                <w:rFonts w:ascii="Calibri" w:hAnsi="Calibri" w:cs="Calibri"/>
                <w:b/>
                <w:color w:val="000000" w:themeColor="text1"/>
                <w:sz w:val="18"/>
                <w:szCs w:val="20"/>
              </w:rPr>
              <w:t>Friday</w:t>
            </w:r>
            <w:r w:rsidR="00F126DA" w:rsidRPr="007F1614">
              <w:rPr>
                <w:rFonts w:ascii="Calibri" w:hAnsi="Calibri" w:cs="Calibri"/>
                <w:b/>
                <w:color w:val="000000" w:themeColor="text1"/>
                <w:sz w:val="18"/>
                <w:szCs w:val="20"/>
              </w:rPr>
              <w:t xml:space="preserve">, </w:t>
            </w:r>
          </w:p>
          <w:p w:rsidR="00F126DA" w:rsidRPr="007F1614" w:rsidRDefault="00FC1777" w:rsidP="00E842A7">
            <w:pPr>
              <w:jc w:val="center"/>
              <w:rPr>
                <w:rFonts w:ascii="Calibri" w:hAnsi="Calibri" w:cs="Calibri"/>
                <w:color w:val="000000" w:themeColor="text1"/>
                <w:sz w:val="18"/>
                <w:szCs w:val="20"/>
              </w:rPr>
            </w:pPr>
            <w:r>
              <w:rPr>
                <w:rFonts w:ascii="Calibri" w:hAnsi="Calibri" w:cs="Calibri"/>
                <w:color w:val="000000" w:themeColor="text1"/>
                <w:sz w:val="18"/>
                <w:szCs w:val="20"/>
              </w:rPr>
              <w:t>September 2</w:t>
            </w:r>
          </w:p>
        </w:tc>
      </w:tr>
      <w:tr w:rsidR="0015211D" w:rsidRPr="007F1614" w:rsidTr="008B74E9">
        <w:trPr>
          <w:trHeight w:val="62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A53600" w:rsidRDefault="00F126DA" w:rsidP="00E842A7">
            <w:pPr>
              <w:jc w:val="right"/>
              <w:rPr>
                <w:rFonts w:ascii="Calibri" w:hAnsi="Calibri" w:cs="Calibri"/>
                <w:color w:val="000000" w:themeColor="text1"/>
                <w:sz w:val="18"/>
                <w:szCs w:val="20"/>
              </w:rPr>
            </w:pPr>
            <w:r w:rsidRPr="00A53600">
              <w:rPr>
                <w:rFonts w:ascii="Calibri" w:hAnsi="Calibri" w:cs="Calibri"/>
                <w:color w:val="000000" w:themeColor="text1"/>
                <w:sz w:val="18"/>
                <w:szCs w:val="20"/>
              </w:rPr>
              <w:t>Breakfast</w:t>
            </w:r>
          </w:p>
          <w:p w:rsidR="00F126DA" w:rsidRPr="00A53600" w:rsidRDefault="00F126DA" w:rsidP="00E842A7">
            <w:pPr>
              <w:jc w:val="right"/>
              <w:rPr>
                <w:rFonts w:ascii="Calibri" w:hAnsi="Calibri" w:cs="Calibri"/>
                <w:color w:val="000000" w:themeColor="text1"/>
                <w:sz w:val="18"/>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A53600"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8:00 – 9:00</w:t>
            </w:r>
          </w:p>
          <w:p w:rsidR="00F126DA" w:rsidRPr="00A53600" w:rsidRDefault="00F126DA" w:rsidP="00E842A7">
            <w:pPr>
              <w:jc w:val="right"/>
              <w:rPr>
                <w:rFonts w:ascii="Calibri" w:hAnsi="Calibri" w:cs="Calibri"/>
                <w:i/>
                <w:sz w:val="18"/>
                <w:szCs w:val="20"/>
              </w:rPr>
            </w:pPr>
            <w:r w:rsidRPr="00A53600">
              <w:rPr>
                <w:rFonts w:ascii="Calibri" w:hAnsi="Calibri" w:cs="Calibri"/>
                <w:i/>
                <w:sz w:val="18"/>
                <w:szCs w:val="20"/>
              </w:rPr>
              <w:t>Hepburn Lounge</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i/>
                <w:sz w:val="18"/>
                <w:szCs w:val="20"/>
              </w:rPr>
            </w:pPr>
            <w:r w:rsidRPr="00A53600">
              <w:rPr>
                <w:rFonts w:ascii="Calibri" w:hAnsi="Calibri" w:cs="Calibri"/>
                <w:i/>
                <w:sz w:val="18"/>
                <w:szCs w:val="20"/>
              </w:rPr>
              <w:t>Hepburn Lounge</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8:00 – 9:00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r>
      <w:tr w:rsidR="0015211D" w:rsidRPr="007F1614" w:rsidTr="008B74E9">
        <w:trPr>
          <w:trHeight w:val="71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Early Morning</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8:00 – 9:00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(8:30) Introduction / Formation of groups</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D8B" w:rsidRPr="007F1614" w:rsidRDefault="00FD2D8B" w:rsidP="00FD2D8B">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Notes:</w:t>
            </w:r>
          </w:p>
          <w:p w:rsidR="00FD2D8B" w:rsidRPr="007F1614" w:rsidRDefault="00FD2D8B" w:rsidP="00FD2D8B">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Business Plans and Models</w:t>
            </w:r>
          </w:p>
          <w:p w:rsidR="00F126DA" w:rsidRPr="007F1614" w:rsidRDefault="00FD2D8B" w:rsidP="00FC177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w:t>
            </w:r>
            <w:r>
              <w:rPr>
                <w:rFonts w:ascii="Calibri" w:hAnsi="Calibri" w:cs="Calibri"/>
                <w:color w:val="000000" w:themeColor="text1"/>
                <w:sz w:val="18"/>
                <w:szCs w:val="20"/>
              </w:rPr>
              <w:t xml:space="preserve">s:  </w:t>
            </w:r>
            <w:r w:rsidR="00FC1777">
              <w:rPr>
                <w:rFonts w:ascii="Calibri" w:hAnsi="Calibri" w:cs="Calibri"/>
                <w:color w:val="000000" w:themeColor="text1"/>
                <w:sz w:val="18"/>
                <w:szCs w:val="20"/>
              </w:rPr>
              <w:t>Iqram Magdon-Ismail, Alan Patricof, and Ian Sigalow</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Robert Reffkin</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243C61" w:rsidP="00640B51">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Guest: </w:t>
            </w:r>
            <w:r w:rsidR="00640B51">
              <w:rPr>
                <w:rFonts w:ascii="Calibri" w:hAnsi="Calibri" w:cs="Calibri"/>
                <w:color w:val="000000" w:themeColor="text1"/>
                <w:sz w:val="18"/>
                <w:szCs w:val="20"/>
              </w:rPr>
              <w:t>Nell Debevoise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A45AB4">
        <w:trPr>
          <w:trHeight w:val="59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Morning</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9:00 – 10:30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Technical Data Corporation Business Plan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Venture Capital and BioLite</w:t>
            </w:r>
          </w:p>
          <w:p w:rsidR="00243C61" w:rsidRPr="007F1614" w:rsidRDefault="00243C61" w:rsidP="00B57CD6">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w:t>
            </w:r>
            <w:r w:rsidR="00B57CD6">
              <w:rPr>
                <w:rFonts w:ascii="Calibri" w:hAnsi="Calibri" w:cs="Calibri"/>
                <w:color w:val="000000" w:themeColor="text1"/>
                <w:sz w:val="18"/>
                <w:szCs w:val="20"/>
              </w:rPr>
              <w:t>Ian Sigalow</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Genset</w:t>
            </w:r>
          </w:p>
        </w:tc>
        <w:tc>
          <w:tcPr>
            <w:tcW w:w="2091" w:type="dxa"/>
            <w:tcBorders>
              <w:top w:val="single" w:sz="4" w:space="0" w:color="auto"/>
              <w:left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Case: </w:t>
            </w:r>
            <w:r w:rsidRPr="007F1614">
              <w:rPr>
                <w:rFonts w:ascii="Calibri" w:hAnsi="Calibri" w:cs="Calibri"/>
                <w:color w:val="000000" w:themeColor="text1"/>
                <w:sz w:val="18"/>
                <w:szCs w:val="20"/>
              </w:rPr>
              <w:t>Sunrise</w:t>
            </w:r>
            <w:r>
              <w:rPr>
                <w:rFonts w:ascii="Calibri" w:hAnsi="Calibri" w:cs="Calibri"/>
                <w:color w:val="000000" w:themeColor="text1"/>
                <w:sz w:val="18"/>
                <w:szCs w:val="20"/>
              </w:rPr>
              <w:t>:</w:t>
            </w:r>
            <w:r w:rsidRPr="007F1614">
              <w:rPr>
                <w:rFonts w:ascii="Calibri" w:hAnsi="Calibri" w:cs="Calibri"/>
                <w:color w:val="000000" w:themeColor="text1"/>
                <w:sz w:val="18"/>
                <w:szCs w:val="20"/>
              </w:rPr>
              <w:t xml:space="preserve"> Renegotiation</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Final Exam Case</w:t>
            </w:r>
          </w:p>
        </w:tc>
      </w:tr>
      <w:tr w:rsidR="0015211D" w:rsidRPr="007F1614" w:rsidTr="00BC2F1F">
        <w:trPr>
          <w:trHeight w:val="60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10:30 – 11:00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BD10F5">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91" w:type="dxa"/>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108" w:type="dxa"/>
            <w:vMerge/>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p>
        </w:tc>
      </w:tr>
      <w:tr w:rsidR="0015211D" w:rsidRPr="007F1614" w:rsidTr="00BD10F5">
        <w:trPr>
          <w:trHeight w:val="879"/>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Noon Block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12:30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Valuation</w:t>
            </w:r>
          </w:p>
        </w:tc>
        <w:tc>
          <w:tcPr>
            <w:tcW w:w="2959" w:type="dxa"/>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243C61">
            <w:pPr>
              <w:jc w:val="center"/>
              <w:rPr>
                <w:rFonts w:ascii="Calibri" w:hAnsi="Calibri" w:cs="Calibri"/>
                <w:color w:val="000000" w:themeColor="text1"/>
                <w:sz w:val="18"/>
                <w:szCs w:val="20"/>
              </w:rPr>
            </w:pPr>
            <w:r>
              <w:rPr>
                <w:rFonts w:ascii="Calibri" w:hAnsi="Calibri" w:cs="Calibri"/>
                <w:color w:val="000000" w:themeColor="text1"/>
                <w:sz w:val="18"/>
                <w:szCs w:val="20"/>
              </w:rPr>
              <w:t>11:0</w:t>
            </w:r>
            <w:r w:rsidRPr="007F1614">
              <w:rPr>
                <w:rFonts w:ascii="Calibri" w:hAnsi="Calibri" w:cs="Calibri"/>
                <w:color w:val="000000" w:themeColor="text1"/>
                <w:sz w:val="18"/>
                <w:szCs w:val="20"/>
              </w:rPr>
              <w:t>0 – 12:30</w:t>
            </w:r>
          </w:p>
          <w:p w:rsidR="00243C61" w:rsidRPr="007F1614" w:rsidRDefault="00243C61" w:rsidP="00243C61">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243C61">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TVW</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Deal Terms</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Circles</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Hugh Merryweather</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1:00</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Early Lunch:</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ArthroCare</w:t>
            </w:r>
          </w:p>
          <w:p w:rsidR="00243C61" w:rsidRPr="007F1614" w:rsidRDefault="00243C61"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r>
      <w:tr w:rsidR="0015211D" w:rsidRPr="007F1614" w:rsidTr="008B74E9">
        <w:trPr>
          <w:trHeight w:val="244"/>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Lunch</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12:30 – 2:30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Technical Data Corporation</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959"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12:30 – 2:00 </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Lotus</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Prep </w:t>
            </w:r>
            <w:r w:rsidR="00A53600">
              <w:rPr>
                <w:rFonts w:ascii="Calibri" w:hAnsi="Calibri" w:cs="Calibri"/>
                <w:color w:val="000000" w:themeColor="text1"/>
                <w:sz w:val="18"/>
                <w:szCs w:val="20"/>
              </w:rPr>
              <w:t>Sunrise</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Parenting</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611"/>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959"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1:00 – 2:30</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   ArthroCare</w:t>
            </w:r>
          </w:p>
        </w:tc>
      </w:tr>
      <w:tr w:rsidR="0015211D" w:rsidRPr="007F1614" w:rsidTr="008B74E9">
        <w:trPr>
          <w:trHeight w:val="547"/>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Afternoon Block</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2:30 – 4:00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Technical Data Corporation</w:t>
            </w:r>
          </w:p>
        </w:tc>
        <w:tc>
          <w:tcPr>
            <w:tcW w:w="2959" w:type="dxa"/>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2:00 – 2:45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Lotus</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Sunrise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Parenting</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Wrap-Up / One-Minute Entrepreneurial Finance</w:t>
            </w:r>
          </w:p>
        </w:tc>
      </w:tr>
      <w:tr w:rsidR="0015211D" w:rsidRPr="007F1614" w:rsidTr="008B74E9">
        <w:trPr>
          <w:trHeight w:val="550"/>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Toward a Theory of Entrepreneurship</w:t>
            </w:r>
          </w:p>
        </w:tc>
        <w:tc>
          <w:tcPr>
            <w:tcW w:w="2959" w:type="dxa"/>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2:45 – 3:45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 (Part 1)</w:t>
            </w: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431"/>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4:00 – 4:30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3:45 – 4:15</w:t>
            </w:r>
            <w:r w:rsidR="00E2280B">
              <w:rPr>
                <w:rFonts w:ascii="Calibri" w:hAnsi="Calibri" w:cs="Calibri"/>
                <w:color w:val="000000" w:themeColor="text1"/>
                <w:sz w:val="18"/>
                <w:szCs w:val="20"/>
              </w:rPr>
              <w:t xml:space="preserve"> - Break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547"/>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Pulling it Together</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4:30 – 6:00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rsidR="00F126DA" w:rsidRDefault="00FC1777" w:rsidP="00FD2D8B">
            <w:pPr>
              <w:jc w:val="center"/>
              <w:rPr>
                <w:rFonts w:ascii="Calibri" w:hAnsi="Calibri" w:cs="Calibri"/>
                <w:color w:val="000000" w:themeColor="text1"/>
                <w:sz w:val="18"/>
                <w:szCs w:val="20"/>
              </w:rPr>
            </w:pPr>
            <w:r>
              <w:rPr>
                <w:rFonts w:ascii="Calibri" w:hAnsi="Calibri" w:cs="Calibri"/>
                <w:color w:val="000000" w:themeColor="text1"/>
                <w:sz w:val="18"/>
                <w:szCs w:val="20"/>
              </w:rPr>
              <w:t>Identifying Opportunities:</w:t>
            </w:r>
          </w:p>
          <w:p w:rsidR="00FC1777" w:rsidRDefault="00FC1777" w:rsidP="00FD2D8B">
            <w:pPr>
              <w:jc w:val="center"/>
              <w:rPr>
                <w:rFonts w:ascii="Calibri" w:hAnsi="Calibri" w:cs="Calibri"/>
                <w:color w:val="000000" w:themeColor="text1"/>
                <w:sz w:val="18"/>
                <w:szCs w:val="20"/>
              </w:rPr>
            </w:pPr>
            <w:r>
              <w:rPr>
                <w:rFonts w:ascii="Calibri" w:hAnsi="Calibri" w:cs="Calibri"/>
                <w:color w:val="000000" w:themeColor="text1"/>
                <w:sz w:val="18"/>
                <w:szCs w:val="20"/>
              </w:rPr>
              <w:t>A TDC-Style New Opportunity</w:t>
            </w:r>
          </w:p>
          <w:p w:rsidR="00FC1777" w:rsidRPr="007F1614" w:rsidRDefault="00FC1777" w:rsidP="00FD2D8B">
            <w:pPr>
              <w:jc w:val="center"/>
              <w:rPr>
                <w:rFonts w:ascii="Calibri" w:hAnsi="Calibri" w:cs="Calibri"/>
                <w:color w:val="000000" w:themeColor="text1"/>
                <w:sz w:val="18"/>
                <w:szCs w:val="20"/>
              </w:rPr>
            </w:pPr>
            <w:r>
              <w:rPr>
                <w:rFonts w:ascii="Calibri" w:hAnsi="Calibri" w:cs="Calibri"/>
                <w:color w:val="000000" w:themeColor="text1"/>
                <w:sz w:val="18"/>
                <w:szCs w:val="20"/>
              </w:rPr>
              <w:t>Guest: Tim Hwang</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4:15 – 5:15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 (Part 2)</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Options for Exit</w:t>
            </w:r>
          </w:p>
          <w:p w:rsidR="00F126DA" w:rsidRPr="007F1614" w:rsidRDefault="00F126DA" w:rsidP="00EB39B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w:t>
            </w:r>
            <w:r w:rsidR="001D065B">
              <w:rPr>
                <w:rFonts w:ascii="Calibri" w:hAnsi="Calibri" w:cs="Calibri"/>
                <w:color w:val="000000" w:themeColor="text1"/>
                <w:sz w:val="18"/>
                <w:szCs w:val="20"/>
              </w:rPr>
              <w:t>Mark Dzialga</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Private Equity</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243C61">
            <w:pPr>
              <w:jc w:val="center"/>
              <w:rPr>
                <w:rFonts w:ascii="Calibri" w:hAnsi="Calibri" w:cs="Calibri"/>
                <w:color w:val="000000" w:themeColor="text1"/>
                <w:sz w:val="18"/>
                <w:szCs w:val="20"/>
              </w:rPr>
            </w:pPr>
          </w:p>
        </w:tc>
      </w:tr>
      <w:tr w:rsidR="0015211D" w:rsidRPr="007F1614" w:rsidTr="008B74E9">
        <w:trPr>
          <w:trHeight w:val="332"/>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959"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5:15 – 7:15</w:t>
            </w:r>
          </w:p>
          <w:p w:rsidR="00F126DA" w:rsidRPr="005901A1" w:rsidRDefault="00F126DA" w:rsidP="00E842A7">
            <w:pPr>
              <w:jc w:val="center"/>
              <w:rPr>
                <w:rFonts w:ascii="Calibri" w:hAnsi="Calibri" w:cs="Calibri"/>
                <w:strike/>
                <w:color w:val="000000" w:themeColor="text1"/>
                <w:sz w:val="18"/>
                <w:szCs w:val="20"/>
              </w:rPr>
            </w:pPr>
            <w:r w:rsidRPr="00A53600">
              <w:rPr>
                <w:rFonts w:ascii="Calibri" w:hAnsi="Calibri" w:cs="Calibri"/>
                <w:color w:val="000000" w:themeColor="text1"/>
                <w:sz w:val="18"/>
                <w:szCs w:val="20"/>
              </w:rPr>
              <w:t>Review Session (with light dinner)</w:t>
            </w: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301"/>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Evening</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6:00 – 8:00</w:t>
            </w:r>
          </w:p>
        </w:tc>
        <w:tc>
          <w:tcPr>
            <w:tcW w:w="2790" w:type="dxa"/>
            <w:vMerge w:val="restart"/>
            <w:tcBorders>
              <w:top w:val="single" w:sz="4" w:space="0" w:color="auto"/>
              <w:left w:val="single" w:sz="4" w:space="0" w:color="auto"/>
              <w:right w:val="single" w:sz="4" w:space="0" w:color="auto"/>
            </w:tcBorders>
            <w:shd w:val="clear" w:color="auto" w:fill="auto"/>
            <w:vAlign w:val="center"/>
          </w:tcPr>
          <w:p w:rsidR="00F126DA" w:rsidRPr="005901A1" w:rsidRDefault="00F126DA" w:rsidP="00E842A7">
            <w:pPr>
              <w:jc w:val="center"/>
              <w:rPr>
                <w:rFonts w:ascii="Calibri" w:hAnsi="Calibri" w:cs="Calibri"/>
                <w:strike/>
                <w:color w:val="FF0000"/>
                <w:sz w:val="18"/>
                <w:szCs w:val="20"/>
              </w:rPr>
            </w:pPr>
          </w:p>
        </w:tc>
        <w:tc>
          <w:tcPr>
            <w:tcW w:w="2959" w:type="dxa"/>
            <w:vMerge/>
            <w:tcBorders>
              <w:left w:val="single" w:sz="4" w:space="0" w:color="auto"/>
              <w:bottom w:val="single" w:sz="4" w:space="0" w:color="auto"/>
              <w:right w:val="single" w:sz="4" w:space="0" w:color="auto"/>
            </w:tcBorders>
            <w:shd w:val="clear" w:color="auto" w:fill="auto"/>
            <w:vAlign w:val="center"/>
            <w:hideMark/>
          </w:tcPr>
          <w:p w:rsidR="00F126DA" w:rsidRPr="005901A1" w:rsidRDefault="00F126DA" w:rsidP="00E842A7">
            <w:pPr>
              <w:jc w:val="center"/>
              <w:rPr>
                <w:rFonts w:ascii="Calibri" w:hAnsi="Calibri" w:cs="Calibri"/>
                <w:strike/>
                <w:color w:val="FF0000"/>
                <w:sz w:val="18"/>
                <w:szCs w:val="20"/>
              </w:rPr>
            </w:pP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color w:val="000000" w:themeColor="text1"/>
                <w:sz w:val="18"/>
                <w:szCs w:val="20"/>
              </w:rPr>
            </w:pPr>
            <w:r w:rsidRPr="00A53600">
              <w:rPr>
                <w:rFonts w:ascii="Calibri" w:hAnsi="Calibri" w:cs="Calibri"/>
                <w:color w:val="000000" w:themeColor="text1"/>
                <w:sz w:val="18"/>
                <w:szCs w:val="20"/>
              </w:rPr>
              <w:t>Reception:</w:t>
            </w:r>
          </w:p>
          <w:p w:rsidR="00F126DA" w:rsidRPr="005901A1" w:rsidRDefault="00F126DA" w:rsidP="00E842A7">
            <w:pPr>
              <w:jc w:val="center"/>
              <w:rPr>
                <w:rFonts w:ascii="Calibri" w:hAnsi="Calibri" w:cs="Calibri"/>
                <w:strike/>
                <w:color w:val="FF0000"/>
                <w:sz w:val="18"/>
                <w:szCs w:val="20"/>
              </w:rPr>
            </w:pPr>
            <w:r w:rsidRPr="00A53600">
              <w:rPr>
                <w:rFonts w:ascii="Calibri" w:hAnsi="Calibri" w:cs="Calibri"/>
                <w:color w:val="000000" w:themeColor="text1"/>
                <w:sz w:val="18"/>
                <w:szCs w:val="20"/>
              </w:rPr>
              <w:t>Hepburn Lounge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301"/>
        </w:trPr>
        <w:tc>
          <w:tcPr>
            <w:tcW w:w="1084" w:type="dxa"/>
            <w:vMerge/>
            <w:tcBorders>
              <w:left w:val="single" w:sz="4" w:space="0" w:color="auto"/>
              <w:bottom w:val="single" w:sz="4" w:space="0" w:color="auto"/>
              <w:right w:val="single" w:sz="4" w:space="0" w:color="auto"/>
            </w:tcBorders>
            <w:shd w:val="clear" w:color="auto" w:fill="auto"/>
            <w:noWrap/>
            <w:vAlign w:val="center"/>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052"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r>
      <w:tr w:rsidR="0015211D" w:rsidRPr="007F1614" w:rsidTr="00A6375C">
        <w:trPr>
          <w:trHeight w:val="56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Assignment</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TVW</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Genset</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Circles</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Final Exam Case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bl>
    <w:p w:rsidR="004F2F91" w:rsidRPr="00A6375C" w:rsidRDefault="004F2F91">
      <w:pPr>
        <w:rPr>
          <w:rFonts w:ascii="Arial" w:eastAsia="Gulim" w:hAnsi="Arial" w:cs="Arial"/>
          <w:sz w:val="20"/>
          <w:szCs w:val="20"/>
        </w:rPr>
      </w:pPr>
    </w:p>
    <w:sectPr w:rsidR="004F2F91" w:rsidRPr="00A6375C" w:rsidSect="00310A99">
      <w:pgSz w:w="15840" w:h="12240" w:orient="landscape" w:code="1"/>
      <w:pgMar w:top="180" w:right="720" w:bottom="90" w:left="720" w:header="720" w:footer="1008"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91" w:rsidRDefault="004F2F91" w:rsidP="004F2F91">
      <w:r>
        <w:separator/>
      </w:r>
    </w:p>
  </w:endnote>
  <w:endnote w:type="continuationSeparator" w:id="0">
    <w:p w:rsidR="004F2F91" w:rsidRDefault="004F2F91"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91029"/>
      <w:docPartObj>
        <w:docPartGallery w:val="Page Numbers (Bottom of Page)"/>
        <w:docPartUnique/>
      </w:docPartObj>
    </w:sdtPr>
    <w:sdtEndPr>
      <w:rPr>
        <w:noProof/>
      </w:rPr>
    </w:sdtEndPr>
    <w:sdtContent>
      <w:p w:rsidR="004F2F91" w:rsidRDefault="004F2F91">
        <w:pPr>
          <w:pStyle w:val="Footer"/>
          <w:jc w:val="right"/>
        </w:pPr>
        <w:r>
          <w:fldChar w:fldCharType="begin"/>
        </w:r>
        <w:r>
          <w:instrText xml:space="preserve"> PAGE   \* MERGEFORMAT </w:instrText>
        </w:r>
        <w:r>
          <w:fldChar w:fldCharType="separate"/>
        </w:r>
        <w:r w:rsidR="00193EAB">
          <w:rPr>
            <w:noProof/>
          </w:rPr>
          <w:t>iv</w:t>
        </w:r>
        <w:r>
          <w:rPr>
            <w:noProof/>
          </w:rPr>
          <w:fldChar w:fldCharType="end"/>
        </w:r>
      </w:p>
    </w:sdtContent>
  </w:sdt>
  <w:p w:rsidR="004F2F91" w:rsidRDefault="004F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91" w:rsidRDefault="004F2F91" w:rsidP="004F2F91">
      <w:r>
        <w:separator/>
      </w:r>
    </w:p>
  </w:footnote>
  <w:footnote w:type="continuationSeparator" w:id="0">
    <w:p w:rsidR="004F2F91" w:rsidRDefault="004F2F91" w:rsidP="004F2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45786"/>
    <w:multiLevelType w:val="multilevel"/>
    <w:tmpl w:val="FA1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D"/>
    <w:rsid w:val="00020628"/>
    <w:rsid w:val="000D694E"/>
    <w:rsid w:val="00120A46"/>
    <w:rsid w:val="0013434E"/>
    <w:rsid w:val="0015211D"/>
    <w:rsid w:val="00193EAB"/>
    <w:rsid w:val="001C2725"/>
    <w:rsid w:val="001D065B"/>
    <w:rsid w:val="00243C61"/>
    <w:rsid w:val="002458D4"/>
    <w:rsid w:val="002C18F5"/>
    <w:rsid w:val="00310A99"/>
    <w:rsid w:val="00342014"/>
    <w:rsid w:val="00355A47"/>
    <w:rsid w:val="00392D64"/>
    <w:rsid w:val="003F4479"/>
    <w:rsid w:val="00424583"/>
    <w:rsid w:val="004F2F91"/>
    <w:rsid w:val="004F7755"/>
    <w:rsid w:val="005229C9"/>
    <w:rsid w:val="00530518"/>
    <w:rsid w:val="00554DC4"/>
    <w:rsid w:val="005901A1"/>
    <w:rsid w:val="005B1A09"/>
    <w:rsid w:val="005E4C3E"/>
    <w:rsid w:val="00640B51"/>
    <w:rsid w:val="00655FC8"/>
    <w:rsid w:val="00675032"/>
    <w:rsid w:val="006B0154"/>
    <w:rsid w:val="00750780"/>
    <w:rsid w:val="0077294D"/>
    <w:rsid w:val="007D0E9C"/>
    <w:rsid w:val="007F1274"/>
    <w:rsid w:val="008620F7"/>
    <w:rsid w:val="00867A99"/>
    <w:rsid w:val="0088723A"/>
    <w:rsid w:val="008B74E9"/>
    <w:rsid w:val="0090497E"/>
    <w:rsid w:val="00921F5C"/>
    <w:rsid w:val="00945163"/>
    <w:rsid w:val="0098473F"/>
    <w:rsid w:val="009851F4"/>
    <w:rsid w:val="00995A75"/>
    <w:rsid w:val="009E3335"/>
    <w:rsid w:val="00A53600"/>
    <w:rsid w:val="00A6375C"/>
    <w:rsid w:val="00A74CEF"/>
    <w:rsid w:val="00AB1CCD"/>
    <w:rsid w:val="00AE2135"/>
    <w:rsid w:val="00B07DE4"/>
    <w:rsid w:val="00B54CE5"/>
    <w:rsid w:val="00B57CD6"/>
    <w:rsid w:val="00B76845"/>
    <w:rsid w:val="00BC6BAB"/>
    <w:rsid w:val="00BF75C2"/>
    <w:rsid w:val="00C0117E"/>
    <w:rsid w:val="00CF0DE3"/>
    <w:rsid w:val="00CF2C6D"/>
    <w:rsid w:val="00D4417A"/>
    <w:rsid w:val="00D44DEF"/>
    <w:rsid w:val="00D5756F"/>
    <w:rsid w:val="00DD18C0"/>
    <w:rsid w:val="00E2280B"/>
    <w:rsid w:val="00EA4F47"/>
    <w:rsid w:val="00EB39B7"/>
    <w:rsid w:val="00EC6A02"/>
    <w:rsid w:val="00F126DA"/>
    <w:rsid w:val="00F81A19"/>
    <w:rsid w:val="00FC1777"/>
    <w:rsid w:val="00FD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DC21C828-7A0D-4083-BDB8-F589604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3814@gsb.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h1@gsb.columb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4.gsb.columbia.edu/entrepreneurship" TargetMode="External"/><Relationship Id="rId4" Type="http://schemas.openxmlformats.org/officeDocument/2006/relationships/webSettings" Target="webSettings.xml"/><Relationship Id="rId9" Type="http://schemas.openxmlformats.org/officeDocument/2006/relationships/hyperlink" Target="http://library.columbia.edu/subject-guides/business/entrepreneu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CE0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Wilhelmina</dc:creator>
  <cp:lastModifiedBy>Sanford, Wilhelmina</cp:lastModifiedBy>
  <cp:revision>2</cp:revision>
  <cp:lastPrinted>2016-07-05T13:56:00Z</cp:lastPrinted>
  <dcterms:created xsi:type="dcterms:W3CDTF">2016-07-05T15:44:00Z</dcterms:created>
  <dcterms:modified xsi:type="dcterms:W3CDTF">2016-07-05T15:44:00Z</dcterms:modified>
</cp:coreProperties>
</file>