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544" w:rsidRDefault="007E1544" w:rsidP="007E1544">
      <w:pPr>
        <w:pStyle w:val="NormalWeb"/>
        <w:shd w:val="clear" w:color="auto" w:fill="FFFFFF"/>
        <w:spacing w:line="300" w:lineRule="atLeast"/>
        <w:rPr>
          <w:rFonts w:ascii="Helvetica" w:hAnsi="Helvetica" w:cs="Helvetica"/>
          <w:color w:val="333333"/>
          <w:sz w:val="20"/>
          <w:szCs w:val="20"/>
        </w:rPr>
      </w:pPr>
    </w:p>
    <w:p w:rsidR="00934BFC" w:rsidRDefault="00934BFC" w:rsidP="00934BFC">
      <w:pPr>
        <w:sectPr w:rsidR="00934BFC" w:rsidSect="007D4274">
          <w:headerReference w:type="default" r:id="rId8"/>
          <w:footerReference w:type="default" r:id="rId9"/>
          <w:pgSz w:w="12240" w:h="15840"/>
          <w:pgMar w:top="1440" w:right="1080" w:bottom="1440" w:left="1080" w:header="720" w:footer="720" w:gutter="0"/>
          <w:cols w:space="720"/>
          <w:docGrid w:linePitch="360"/>
        </w:sectPr>
      </w:pPr>
    </w:p>
    <w:p w:rsidR="00776559" w:rsidRPr="00271285" w:rsidRDefault="007E1544" w:rsidP="00776559">
      <w:pPr>
        <w:spacing w:after="0" w:line="240" w:lineRule="auto"/>
        <w:jc w:val="center"/>
        <w:rPr>
          <w:rFonts w:ascii="Comic Sans MS" w:hAnsi="Comic Sans MS"/>
          <w:b/>
          <w:color w:val="000000"/>
          <w:sz w:val="28"/>
          <w:szCs w:val="28"/>
        </w:rPr>
      </w:pPr>
      <w:r>
        <w:rPr>
          <w:rFonts w:ascii="Comic Sans MS" w:hAnsi="Comic Sans MS"/>
          <w:b/>
          <w:color w:val="000000"/>
          <w:sz w:val="28"/>
          <w:szCs w:val="28"/>
        </w:rPr>
        <w:t>Equity Derivative</w:t>
      </w:r>
      <w:r w:rsidR="00776559">
        <w:rPr>
          <w:rFonts w:ascii="Comic Sans MS" w:hAnsi="Comic Sans MS"/>
          <w:b/>
          <w:color w:val="000000"/>
          <w:sz w:val="28"/>
          <w:szCs w:val="28"/>
        </w:rPr>
        <w:t>s</w:t>
      </w:r>
      <w:r>
        <w:rPr>
          <w:rFonts w:ascii="Comic Sans MS" w:hAnsi="Comic Sans MS"/>
          <w:b/>
          <w:color w:val="000000"/>
          <w:sz w:val="28"/>
          <w:szCs w:val="28"/>
        </w:rPr>
        <w:t xml:space="preserve"> </w:t>
      </w:r>
      <w:r w:rsidR="00776559">
        <w:rPr>
          <w:rFonts w:ascii="Comic Sans MS" w:hAnsi="Comic Sans MS"/>
          <w:b/>
          <w:color w:val="000000"/>
          <w:sz w:val="28"/>
          <w:szCs w:val="28"/>
        </w:rPr>
        <w:t>–</w:t>
      </w:r>
      <w:r w:rsidR="00776559" w:rsidRPr="00271285">
        <w:rPr>
          <w:rFonts w:ascii="Comic Sans MS" w:hAnsi="Comic Sans MS"/>
          <w:b/>
          <w:color w:val="000000"/>
          <w:sz w:val="28"/>
          <w:szCs w:val="28"/>
        </w:rPr>
        <w:t xml:space="preserve"> B</w:t>
      </w:r>
      <w:r>
        <w:rPr>
          <w:rFonts w:ascii="Comic Sans MS" w:hAnsi="Comic Sans MS"/>
          <w:b/>
          <w:color w:val="000000"/>
          <w:sz w:val="28"/>
          <w:szCs w:val="28"/>
        </w:rPr>
        <w:t>8</w:t>
      </w:r>
      <w:r w:rsidR="00776559">
        <w:rPr>
          <w:rFonts w:ascii="Comic Sans MS" w:hAnsi="Comic Sans MS"/>
          <w:b/>
          <w:color w:val="000000"/>
          <w:sz w:val="28"/>
          <w:szCs w:val="28"/>
        </w:rPr>
        <w:t>3</w:t>
      </w:r>
      <w:r>
        <w:rPr>
          <w:rFonts w:ascii="Comic Sans MS" w:hAnsi="Comic Sans MS"/>
          <w:b/>
          <w:color w:val="000000"/>
          <w:sz w:val="28"/>
          <w:szCs w:val="28"/>
        </w:rPr>
        <w:t>84</w:t>
      </w:r>
      <w:r w:rsidR="00776559" w:rsidRPr="00271285">
        <w:rPr>
          <w:rFonts w:ascii="Comic Sans MS" w:hAnsi="Comic Sans MS"/>
          <w:b/>
          <w:color w:val="000000"/>
          <w:sz w:val="28"/>
          <w:szCs w:val="28"/>
        </w:rPr>
        <w:t>-00</w:t>
      </w:r>
      <w:r>
        <w:rPr>
          <w:rFonts w:ascii="Comic Sans MS" w:hAnsi="Comic Sans MS"/>
          <w:b/>
          <w:color w:val="000000"/>
          <w:sz w:val="28"/>
          <w:szCs w:val="28"/>
        </w:rPr>
        <w:t>1</w:t>
      </w:r>
      <w:r w:rsidR="00776559" w:rsidRPr="00271285">
        <w:rPr>
          <w:rFonts w:ascii="Comic Sans MS" w:hAnsi="Comic Sans MS"/>
          <w:b/>
          <w:color w:val="000000"/>
          <w:sz w:val="28"/>
          <w:szCs w:val="28"/>
        </w:rPr>
        <w:t>-201</w:t>
      </w:r>
      <w:r w:rsidR="00A60678">
        <w:rPr>
          <w:rFonts w:ascii="Comic Sans MS" w:hAnsi="Comic Sans MS"/>
          <w:b/>
          <w:color w:val="000000"/>
          <w:sz w:val="28"/>
          <w:szCs w:val="28"/>
        </w:rPr>
        <w:t>7</w:t>
      </w:r>
      <w:r w:rsidR="00873FCA">
        <w:rPr>
          <w:rFonts w:ascii="Comic Sans MS" w:hAnsi="Comic Sans MS"/>
          <w:b/>
          <w:color w:val="000000"/>
          <w:sz w:val="28"/>
          <w:szCs w:val="28"/>
        </w:rPr>
        <w:t>1</w:t>
      </w:r>
    </w:p>
    <w:p w:rsidR="00776559" w:rsidRDefault="00873FCA" w:rsidP="00776559">
      <w:pPr>
        <w:spacing w:after="0" w:line="240" w:lineRule="auto"/>
        <w:jc w:val="center"/>
        <w:rPr>
          <w:rFonts w:ascii="Comic Sans MS" w:hAnsi="Comic Sans MS"/>
          <w:b/>
          <w:color w:val="000000"/>
          <w:sz w:val="28"/>
          <w:szCs w:val="28"/>
        </w:rPr>
      </w:pPr>
      <w:r>
        <w:rPr>
          <w:rFonts w:ascii="Comic Sans MS" w:hAnsi="Comic Sans MS"/>
          <w:b/>
          <w:color w:val="000000"/>
          <w:sz w:val="28"/>
          <w:szCs w:val="28"/>
        </w:rPr>
        <w:t>Spring</w:t>
      </w:r>
      <w:r w:rsidR="00776559" w:rsidRPr="00271285">
        <w:rPr>
          <w:rFonts w:ascii="Comic Sans MS" w:hAnsi="Comic Sans MS"/>
          <w:b/>
          <w:color w:val="000000"/>
          <w:sz w:val="28"/>
          <w:szCs w:val="28"/>
        </w:rPr>
        <w:t xml:space="preserve"> 201</w:t>
      </w:r>
      <w:r w:rsidR="00B538BC">
        <w:rPr>
          <w:rFonts w:ascii="Comic Sans MS" w:hAnsi="Comic Sans MS"/>
          <w:b/>
          <w:color w:val="000000"/>
          <w:sz w:val="28"/>
          <w:szCs w:val="28"/>
        </w:rPr>
        <w:t>8</w:t>
      </w:r>
    </w:p>
    <w:p w:rsidR="00E915F4" w:rsidRDefault="007E1544" w:rsidP="00E915F4">
      <w:pPr>
        <w:spacing w:after="0" w:line="240" w:lineRule="auto"/>
        <w:jc w:val="center"/>
        <w:rPr>
          <w:rFonts w:ascii="Comic Sans MS" w:hAnsi="Comic Sans MS"/>
          <w:b/>
          <w:color w:val="000000"/>
          <w:sz w:val="24"/>
          <w:szCs w:val="24"/>
        </w:rPr>
      </w:pPr>
      <w:r>
        <w:rPr>
          <w:rFonts w:ascii="Comic Sans MS" w:hAnsi="Comic Sans MS"/>
          <w:b/>
          <w:color w:val="000000"/>
          <w:sz w:val="24"/>
          <w:szCs w:val="24"/>
        </w:rPr>
        <w:t xml:space="preserve">Mondays &amp; </w:t>
      </w:r>
      <w:r w:rsidR="00E915F4">
        <w:rPr>
          <w:rFonts w:ascii="Comic Sans MS" w:hAnsi="Comic Sans MS"/>
          <w:b/>
          <w:color w:val="000000"/>
          <w:sz w:val="24"/>
          <w:szCs w:val="24"/>
        </w:rPr>
        <w:t>Wednesday</w:t>
      </w:r>
      <w:r w:rsidR="00873FCA">
        <w:rPr>
          <w:rFonts w:ascii="Comic Sans MS" w:hAnsi="Comic Sans MS"/>
          <w:b/>
          <w:color w:val="000000"/>
          <w:sz w:val="24"/>
          <w:szCs w:val="24"/>
        </w:rPr>
        <w:t>s</w:t>
      </w:r>
      <w:r w:rsidR="00E915F4">
        <w:rPr>
          <w:rFonts w:ascii="Comic Sans MS" w:hAnsi="Comic Sans MS"/>
          <w:b/>
          <w:color w:val="000000"/>
          <w:sz w:val="24"/>
          <w:szCs w:val="24"/>
        </w:rPr>
        <w:t xml:space="preserve">, </w:t>
      </w:r>
      <w:r>
        <w:rPr>
          <w:rFonts w:ascii="Comic Sans MS" w:hAnsi="Comic Sans MS"/>
          <w:b/>
          <w:color w:val="000000"/>
          <w:sz w:val="24"/>
          <w:szCs w:val="24"/>
        </w:rPr>
        <w:t>12</w:t>
      </w:r>
      <w:r w:rsidR="00873FCA">
        <w:rPr>
          <w:rFonts w:ascii="Comic Sans MS" w:hAnsi="Comic Sans MS"/>
          <w:b/>
          <w:color w:val="000000"/>
          <w:sz w:val="24"/>
          <w:szCs w:val="24"/>
        </w:rPr>
        <w:t>:</w:t>
      </w:r>
      <w:r>
        <w:rPr>
          <w:rFonts w:ascii="Comic Sans MS" w:hAnsi="Comic Sans MS"/>
          <w:b/>
          <w:color w:val="000000"/>
          <w:sz w:val="24"/>
          <w:szCs w:val="24"/>
        </w:rPr>
        <w:t>3</w:t>
      </w:r>
      <w:r w:rsidR="00873FCA">
        <w:rPr>
          <w:rFonts w:ascii="Comic Sans MS" w:hAnsi="Comic Sans MS"/>
          <w:b/>
          <w:color w:val="000000"/>
          <w:sz w:val="24"/>
          <w:szCs w:val="24"/>
        </w:rPr>
        <w:t xml:space="preserve">0pm – </w:t>
      </w:r>
      <w:r>
        <w:rPr>
          <w:rFonts w:ascii="Comic Sans MS" w:hAnsi="Comic Sans MS"/>
          <w:b/>
          <w:color w:val="000000"/>
          <w:sz w:val="24"/>
          <w:szCs w:val="24"/>
        </w:rPr>
        <w:t>2</w:t>
      </w:r>
      <w:r w:rsidR="00873FCA">
        <w:rPr>
          <w:rFonts w:ascii="Comic Sans MS" w:hAnsi="Comic Sans MS"/>
          <w:b/>
          <w:color w:val="000000"/>
          <w:sz w:val="24"/>
          <w:szCs w:val="24"/>
        </w:rPr>
        <w:t>:00pm</w:t>
      </w:r>
    </w:p>
    <w:p w:rsidR="00776559" w:rsidRPr="00F97AA8" w:rsidRDefault="0087557A" w:rsidP="00E915F4">
      <w:pPr>
        <w:spacing w:after="240" w:line="240" w:lineRule="auto"/>
        <w:jc w:val="center"/>
        <w:rPr>
          <w:rFonts w:ascii="Comic Sans MS" w:hAnsi="Comic Sans MS"/>
          <w:b/>
          <w:color w:val="000000"/>
          <w:sz w:val="24"/>
          <w:szCs w:val="24"/>
        </w:rPr>
      </w:pPr>
      <w:r>
        <w:rPr>
          <w:rFonts w:ascii="Comic Sans MS" w:hAnsi="Comic Sans MS"/>
          <w:b/>
          <w:color w:val="000000"/>
          <w:sz w:val="24"/>
          <w:szCs w:val="24"/>
        </w:rPr>
        <w:t>Uris 303</w:t>
      </w:r>
    </w:p>
    <w:p w:rsidR="00776559" w:rsidRPr="001F36A7" w:rsidRDefault="00776559" w:rsidP="00776559">
      <w:pPr>
        <w:spacing w:after="120"/>
        <w:rPr>
          <w:rFonts w:ascii="Comic Sans MS" w:hAnsi="Comic Sans MS"/>
          <w:b/>
        </w:rPr>
      </w:pPr>
      <w:r w:rsidRPr="001F36A7">
        <w:rPr>
          <w:rFonts w:ascii="Comic Sans MS" w:hAnsi="Comic Sans MS"/>
          <w:b/>
          <w:color w:val="000000"/>
        </w:rPr>
        <w:t>PROFESSOR MARK ZURACK</w:t>
      </w:r>
    </w:p>
    <w:p w:rsidR="00776559" w:rsidRPr="00267681" w:rsidRDefault="00776559" w:rsidP="00776559">
      <w:pPr>
        <w:spacing w:after="120"/>
        <w:rPr>
          <w:rFonts w:ascii="Comic Sans MS" w:hAnsi="Comic Sans MS"/>
        </w:rPr>
      </w:pPr>
      <w:r w:rsidRPr="001F36A7">
        <w:rPr>
          <w:rFonts w:ascii="Comic Sans MS" w:hAnsi="Comic Sans MS"/>
          <w:b/>
        </w:rPr>
        <w:t>Office Location:</w:t>
      </w:r>
      <w:r w:rsidRPr="00267681">
        <w:rPr>
          <w:rFonts w:ascii="Comic Sans MS" w:hAnsi="Comic Sans MS"/>
        </w:rPr>
        <w:t xml:space="preserve">  211 Uris Hall</w:t>
      </w:r>
    </w:p>
    <w:p w:rsidR="00776559" w:rsidRPr="00267681" w:rsidRDefault="00776559" w:rsidP="00776559">
      <w:pPr>
        <w:spacing w:after="120"/>
        <w:rPr>
          <w:rFonts w:ascii="Comic Sans MS" w:hAnsi="Comic Sans MS"/>
        </w:rPr>
      </w:pPr>
      <w:r w:rsidRPr="001F36A7">
        <w:rPr>
          <w:rFonts w:ascii="Comic Sans MS" w:hAnsi="Comic Sans MS"/>
          <w:b/>
        </w:rPr>
        <w:t>Office Phone:</w:t>
      </w:r>
      <w:r>
        <w:rPr>
          <w:rFonts w:ascii="Comic Sans MS" w:hAnsi="Comic Sans MS"/>
        </w:rPr>
        <w:t xml:space="preserve">  </w:t>
      </w:r>
      <w:r w:rsidRPr="00267681">
        <w:rPr>
          <w:rFonts w:ascii="Comic Sans MS" w:hAnsi="Comic Sans MS"/>
        </w:rPr>
        <w:t>212-854-6100</w:t>
      </w:r>
    </w:p>
    <w:p w:rsidR="00776559" w:rsidRPr="00267681" w:rsidRDefault="00776559" w:rsidP="00776559">
      <w:pPr>
        <w:spacing w:after="120"/>
        <w:rPr>
          <w:rFonts w:ascii="Comic Sans MS" w:hAnsi="Comic Sans MS"/>
        </w:rPr>
      </w:pPr>
      <w:r w:rsidRPr="001F36A7">
        <w:rPr>
          <w:rFonts w:ascii="Comic Sans MS" w:hAnsi="Comic Sans MS"/>
          <w:b/>
        </w:rPr>
        <w:t>Fax:</w:t>
      </w:r>
      <w:r>
        <w:rPr>
          <w:rFonts w:ascii="Comic Sans MS" w:hAnsi="Comic Sans MS"/>
        </w:rPr>
        <w:t xml:space="preserve">  212</w:t>
      </w:r>
      <w:r w:rsidRPr="00267681">
        <w:rPr>
          <w:rFonts w:ascii="Comic Sans MS" w:hAnsi="Comic Sans MS"/>
        </w:rPr>
        <w:t>-</w:t>
      </w:r>
      <w:r>
        <w:rPr>
          <w:rFonts w:ascii="Comic Sans MS" w:hAnsi="Comic Sans MS"/>
        </w:rPr>
        <w:t>932</w:t>
      </w:r>
      <w:r w:rsidRPr="00267681">
        <w:rPr>
          <w:rFonts w:ascii="Comic Sans MS" w:hAnsi="Comic Sans MS"/>
        </w:rPr>
        <w:t>-</w:t>
      </w:r>
      <w:r>
        <w:rPr>
          <w:rFonts w:ascii="Comic Sans MS" w:hAnsi="Comic Sans MS"/>
        </w:rPr>
        <w:t>8614</w:t>
      </w:r>
    </w:p>
    <w:p w:rsidR="00776559" w:rsidRPr="00267681" w:rsidRDefault="00776559" w:rsidP="00776559">
      <w:pPr>
        <w:spacing w:after="120"/>
        <w:rPr>
          <w:rFonts w:ascii="Comic Sans MS" w:hAnsi="Comic Sans MS"/>
        </w:rPr>
      </w:pPr>
      <w:r w:rsidRPr="001F36A7">
        <w:rPr>
          <w:rFonts w:ascii="Comic Sans MS" w:hAnsi="Comic Sans MS"/>
          <w:b/>
        </w:rPr>
        <w:t>E-mail:</w:t>
      </w:r>
      <w:r>
        <w:rPr>
          <w:rFonts w:ascii="Comic Sans MS" w:hAnsi="Comic Sans MS"/>
        </w:rPr>
        <w:t xml:space="preserve">  </w:t>
      </w:r>
      <w:r w:rsidRPr="00216102">
        <w:rPr>
          <w:rStyle w:val="Hyperlink"/>
          <w:rFonts w:ascii="Comic Sans MS" w:hAnsi="Comic Sans MS"/>
        </w:rPr>
        <w:t>mz2015@columbia.edu</w:t>
      </w:r>
    </w:p>
    <w:p w:rsidR="00776559" w:rsidRDefault="00776559" w:rsidP="00776559">
      <w:pPr>
        <w:spacing w:after="120"/>
        <w:sectPr w:rsidR="00776559" w:rsidSect="00776559">
          <w:type w:val="continuous"/>
          <w:pgSz w:w="12240" w:h="15840"/>
          <w:pgMar w:top="1440" w:right="1080" w:bottom="1440" w:left="1080" w:header="720" w:footer="720" w:gutter="0"/>
          <w:cols w:space="720"/>
          <w:docGrid w:linePitch="360"/>
        </w:sectPr>
      </w:pPr>
      <w:r w:rsidRPr="001F36A7">
        <w:rPr>
          <w:rFonts w:ascii="Comic Sans MS" w:hAnsi="Comic Sans MS"/>
          <w:b/>
        </w:rPr>
        <w:t>Office Hours:</w:t>
      </w:r>
      <w:r>
        <w:rPr>
          <w:rFonts w:ascii="Comic Sans MS" w:hAnsi="Comic Sans MS"/>
        </w:rPr>
        <w:t xml:space="preserve">  </w:t>
      </w:r>
      <w:r w:rsidR="00B538BC">
        <w:rPr>
          <w:rFonts w:ascii="Comic Sans MS" w:hAnsi="Comic Sans MS"/>
        </w:rPr>
        <w:t>(</w:t>
      </w:r>
      <w:r w:rsidR="00700B00">
        <w:rPr>
          <w:rFonts w:ascii="Comic Sans MS" w:hAnsi="Comic Sans MS"/>
        </w:rPr>
        <w:t>email me to schedule an appointment</w:t>
      </w:r>
      <w:r>
        <w:rPr>
          <w:rFonts w:ascii="Comic Sans MS" w:hAnsi="Comic Sans MS"/>
        </w:rPr>
        <w:t>)</w:t>
      </w:r>
    </w:p>
    <w:p w:rsidR="00535F4E" w:rsidRPr="003F0E08" w:rsidRDefault="00776559" w:rsidP="007C6252">
      <w:pPr>
        <w:spacing w:after="120"/>
        <w:rPr>
          <w:rFonts w:ascii="Comic Sans MS" w:hAnsi="Comic Sans MS"/>
          <w:u w:val="single"/>
        </w:rPr>
        <w:sectPr w:rsidR="00535F4E" w:rsidRPr="003F0E08" w:rsidSect="00776559">
          <w:type w:val="continuous"/>
          <w:pgSz w:w="12240" w:h="15840"/>
          <w:pgMar w:top="1440" w:right="1080" w:bottom="1440" w:left="1080" w:header="720" w:footer="720" w:gutter="0"/>
          <w:cols w:space="720"/>
          <w:docGrid w:linePitch="360"/>
        </w:sectPr>
      </w:pPr>
      <w:r w:rsidRPr="001F36A7">
        <w:rPr>
          <w:rFonts w:ascii="Comic Sans MS" w:hAnsi="Comic Sans MS"/>
          <w:b/>
        </w:rPr>
        <w:t>TEACHING ASSISTANT</w:t>
      </w:r>
      <w:r>
        <w:rPr>
          <w:rFonts w:ascii="Comic Sans MS" w:hAnsi="Comic Sans MS"/>
          <w:b/>
        </w:rPr>
        <w:t>:</w:t>
      </w:r>
      <w:r>
        <w:rPr>
          <w:rFonts w:ascii="Comic Sans MS" w:hAnsi="Comic Sans MS"/>
        </w:rPr>
        <w:t xml:space="preserve">  </w:t>
      </w:r>
      <w:r w:rsidR="00700B00">
        <w:rPr>
          <w:rFonts w:ascii="Comic Sans MS" w:hAnsi="Comic Sans MS"/>
        </w:rPr>
        <w:t xml:space="preserve">Chinmay Borkar: </w:t>
      </w:r>
      <w:r w:rsidR="00700B00" w:rsidRPr="003F0E08">
        <w:rPr>
          <w:rFonts w:ascii="Comic Sans MS" w:hAnsi="Comic Sans MS"/>
          <w:u w:val="single"/>
        </w:rPr>
        <w:t>CBorkar18@gsb.columbia.edu</w:t>
      </w:r>
    </w:p>
    <w:p w:rsidR="00934BFC" w:rsidRDefault="00495ABB" w:rsidP="00312B2D">
      <w:pPr>
        <w:tabs>
          <w:tab w:val="left" w:pos="2685"/>
        </w:tabs>
        <w:spacing w:after="120"/>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-1000125</wp:posOffset>
                </wp:positionH>
                <wp:positionV relativeFrom="paragraph">
                  <wp:posOffset>121919</wp:posOffset>
                </wp:positionV>
                <wp:extent cx="810577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05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5BBB40"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8.75pt,9.6pt" to="55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" strokecolor="#4579b8 [3044]">
                <o:lock v:ext="edit" shapetype="f"/>
              </v:line>
            </w:pict>
          </mc:Fallback>
        </mc:AlternateContent>
      </w:r>
    </w:p>
    <w:p w:rsidR="00934BFC" w:rsidRPr="00EF5A75" w:rsidRDefault="00934BFC" w:rsidP="00312B2D">
      <w:pPr>
        <w:spacing w:after="60" w:line="240" w:lineRule="auto"/>
        <w:rPr>
          <w:rFonts w:ascii="Comic Sans MS" w:hAnsi="Comic Sans MS"/>
          <w:b/>
        </w:rPr>
      </w:pPr>
      <w:r w:rsidRPr="00EF5A75">
        <w:rPr>
          <w:rFonts w:ascii="Comic Sans MS" w:hAnsi="Comic Sans MS"/>
          <w:b/>
        </w:rPr>
        <w:t>REQUIRED COURSE MATERIAL</w:t>
      </w:r>
    </w:p>
    <w:p w:rsidR="00E915F4" w:rsidRPr="00EF5A75" w:rsidRDefault="00700B00" w:rsidP="00312B2D">
      <w:pPr>
        <w:spacing w:after="60" w:line="240" w:lineRule="auto"/>
        <w:rPr>
          <w:rFonts w:ascii="Comic Sans MS" w:hAnsi="Comic Sans MS"/>
          <w:i/>
        </w:rPr>
      </w:pPr>
      <w:r>
        <w:rPr>
          <w:rFonts w:ascii="Comic Sans MS" w:hAnsi="Comic Sans MS"/>
          <w:u w:val="single"/>
        </w:rPr>
        <w:t>Equity Derivatives: Corporate and Institutional Applications</w:t>
      </w:r>
      <w:r>
        <w:rPr>
          <w:rFonts w:ascii="Comic Sans MS" w:hAnsi="Comic Sans MS"/>
          <w:u w:val="single"/>
        </w:rPr>
        <w:br/>
      </w:r>
      <w:r w:rsidRPr="00700B00">
        <w:rPr>
          <w:rFonts w:ascii="Comic Sans MS" w:hAnsi="Comic Sans MS"/>
        </w:rPr>
        <w:t>Neil C. Schofield, 2017</w:t>
      </w:r>
    </w:p>
    <w:p w:rsidR="00A60678" w:rsidRPr="00EF5A75" w:rsidRDefault="00A60678" w:rsidP="00312B2D">
      <w:pPr>
        <w:spacing w:after="60" w:line="240" w:lineRule="auto"/>
        <w:rPr>
          <w:rFonts w:ascii="Comic Sans MS" w:hAnsi="Comic Sans MS"/>
        </w:rPr>
      </w:pPr>
      <w:r w:rsidRPr="00EF5A75">
        <w:rPr>
          <w:rFonts w:ascii="Comic Sans MS" w:hAnsi="Comic Sans MS"/>
        </w:rPr>
        <w:t xml:space="preserve">Selected Readings are on electronic reserve and accessible through the </w:t>
      </w:r>
      <w:r w:rsidR="00D73383">
        <w:rPr>
          <w:rFonts w:ascii="Comic Sans MS" w:hAnsi="Comic Sans MS"/>
        </w:rPr>
        <w:t>Library Reserves tab</w:t>
      </w:r>
      <w:r w:rsidRPr="00EF5A75">
        <w:rPr>
          <w:rFonts w:ascii="Comic Sans MS" w:hAnsi="Comic Sans MS"/>
        </w:rPr>
        <w:t xml:space="preserve"> in Canvas</w:t>
      </w:r>
      <w:r w:rsidR="00112EDC">
        <w:rPr>
          <w:rFonts w:ascii="Comic Sans MS" w:hAnsi="Comic Sans MS"/>
        </w:rPr>
        <w:t xml:space="preserve"> (LR)</w:t>
      </w:r>
      <w:r w:rsidR="00D73383">
        <w:rPr>
          <w:rFonts w:ascii="Comic Sans MS" w:hAnsi="Comic Sans MS"/>
        </w:rPr>
        <w:t>, and in PDF files under “Miscellaneous” in the Files tab in Canvas</w:t>
      </w:r>
      <w:r w:rsidR="00112EDC">
        <w:rPr>
          <w:rFonts w:ascii="Comic Sans MS" w:hAnsi="Comic Sans MS"/>
        </w:rPr>
        <w:t xml:space="preserve"> (PDF)</w:t>
      </w:r>
      <w:r w:rsidRPr="00EF5A75">
        <w:rPr>
          <w:rFonts w:ascii="Comic Sans MS" w:hAnsi="Comic Sans MS"/>
        </w:rPr>
        <w:t>.</w:t>
      </w:r>
    </w:p>
    <w:p w:rsidR="00776559" w:rsidRPr="00EF5A75" w:rsidRDefault="00700B00" w:rsidP="00312B2D">
      <w:pPr>
        <w:spacing w:after="60" w:line="240" w:lineRule="auto"/>
        <w:rPr>
          <w:rFonts w:ascii="Comic Sans MS" w:hAnsi="Comic Sans MS"/>
          <w:b/>
        </w:rPr>
      </w:pPr>
      <w:r>
        <w:rPr>
          <w:rFonts w:ascii="Comic Sans MS" w:hAnsi="Comic Sans MS"/>
          <w:b/>
        </w:rPr>
        <w:t>REQUIRED PREREQUISITES</w:t>
      </w:r>
      <w:r w:rsidR="00EA4BE3">
        <w:rPr>
          <w:rFonts w:ascii="Comic Sans MS" w:hAnsi="Comic Sans MS"/>
          <w:b/>
        </w:rPr>
        <w:t xml:space="preserve">: </w:t>
      </w:r>
      <w:r>
        <w:rPr>
          <w:rFonts w:ascii="Comic Sans MS" w:hAnsi="Comic Sans MS"/>
          <w:b/>
        </w:rPr>
        <w:t xml:space="preserve">CAPITAL MARKETS AND INVESTMENTS </w:t>
      </w:r>
      <w:r>
        <w:rPr>
          <w:rFonts w:ascii="Comic Sans MS" w:hAnsi="Comic Sans MS"/>
          <w:b/>
        </w:rPr>
        <w:br/>
        <w:t>C</w:t>
      </w:r>
      <w:r w:rsidR="00776559" w:rsidRPr="00EF5A75">
        <w:rPr>
          <w:rFonts w:ascii="Comic Sans MS" w:hAnsi="Comic Sans MS"/>
          <w:b/>
        </w:rPr>
        <w:t>ONNECTION WITH THE CORE</w:t>
      </w:r>
    </w:p>
    <w:p w:rsidR="00D13B34" w:rsidRPr="00EF5A75" w:rsidRDefault="00EF5A75" w:rsidP="00EF5A75">
      <w:pPr>
        <w:spacing w:after="80"/>
        <w:rPr>
          <w:rFonts w:ascii="Comic Sans MS" w:hAnsi="Comic Sans MS"/>
        </w:rPr>
      </w:pPr>
      <w:r w:rsidRPr="00EF5A75">
        <w:rPr>
          <w:rFonts w:ascii="Comic Sans MS" w:hAnsi="Comic Sans MS"/>
        </w:rPr>
        <w:t>This course builds on knowledge from the Capital Markets and Statistics courses (B8306).   Specifically, statistical techniques are used to estimate parameters of option pricing models, data are used to develop scenarios for risk analysis; and are used to understand simulation output when pricing and hedging derivative securities.</w:t>
      </w:r>
    </w:p>
    <w:p w:rsidR="0009290A" w:rsidRPr="00EF5A75" w:rsidRDefault="0009290A" w:rsidP="00312B2D">
      <w:pPr>
        <w:spacing w:after="60"/>
        <w:rPr>
          <w:rFonts w:ascii="Comic Sans MS" w:hAnsi="Comic Sans MS"/>
        </w:rPr>
      </w:pPr>
      <w:r w:rsidRPr="00EF5A75">
        <w:rPr>
          <w:rFonts w:ascii="Comic Sans MS" w:hAnsi="Comic Sans MS"/>
          <w:b/>
        </w:rPr>
        <w:t>COURSE DESCRIPTION AND OBJECTIVES</w:t>
      </w:r>
    </w:p>
    <w:p w:rsidR="00833B45" w:rsidRPr="00EF5A75" w:rsidRDefault="0009290A" w:rsidP="00312B2D">
      <w:pPr>
        <w:spacing w:after="60"/>
        <w:rPr>
          <w:rFonts w:ascii="Comic Sans MS" w:hAnsi="Comic Sans MS" w:cs="Comic Sans MS"/>
        </w:rPr>
      </w:pPr>
      <w:r w:rsidRPr="00EF5A75">
        <w:rPr>
          <w:rFonts w:ascii="Comic Sans MS" w:hAnsi="Comic Sans MS"/>
        </w:rPr>
        <w:t>Successful investing in Equities Markets requires more than just picking stocks given the wide array of products at a portfolio manager's disposal.  Through a combination of lectures, guest speakers and a final project, this course is intended to provide firsthand experience on how products like Options, Swaps, Futures, ETFs, Structured Notes, and Convertible Bonds are structured, valued, and used by all types of investors globally.  Although the majority of the course relates to Equities, there will be a few classes on Fixed Income and Commodities Derivatives.</w:t>
      </w:r>
    </w:p>
    <w:p w:rsidR="00833B45" w:rsidRPr="00EF5A75" w:rsidRDefault="00833B45" w:rsidP="000E2805">
      <w:pPr>
        <w:spacing w:after="60"/>
        <w:rPr>
          <w:rFonts w:ascii="Comic Sans MS" w:hAnsi="Comic Sans MS" w:cs="Comic Sans MS"/>
        </w:rPr>
      </w:pPr>
      <w:r w:rsidRPr="00EF5A75">
        <w:rPr>
          <w:rFonts w:ascii="Comic Sans MS" w:hAnsi="Comic Sans MS" w:cs="Comic Sans MS"/>
        </w:rPr>
        <w:lastRenderedPageBreak/>
        <w:t>The course is designed from both the perspective of a practitioner who has to account for the real costs of trading derivatives and how the derivative can improve the return and/or reduce the risk of his/her portfolio.</w:t>
      </w:r>
      <w:r w:rsidR="00E06F9A">
        <w:rPr>
          <w:rFonts w:ascii="Comic Sans MS" w:hAnsi="Comic Sans MS" w:cs="Comic Sans MS"/>
        </w:rPr>
        <w:t xml:space="preserve"> </w:t>
      </w:r>
      <w:r w:rsidRPr="00EF5A75">
        <w:rPr>
          <w:rFonts w:ascii="Comic Sans MS" w:hAnsi="Comic Sans MS" w:cs="Comic Sans MS"/>
        </w:rPr>
        <w:t>The course is broken into the following sections:</w:t>
      </w:r>
    </w:p>
    <w:p w:rsidR="00833B45" w:rsidRPr="00EF5A75" w:rsidRDefault="00833B45" w:rsidP="000E2805">
      <w:pPr>
        <w:spacing w:after="60"/>
        <w:rPr>
          <w:rFonts w:ascii="Comic Sans MS" w:hAnsi="Comic Sans MS" w:cs="Comic Sans MS"/>
          <w:color w:val="000000"/>
        </w:rPr>
      </w:pPr>
      <w:r w:rsidRPr="00EF5A75">
        <w:rPr>
          <w:rFonts w:ascii="Comic Sans MS" w:hAnsi="Comic Sans MS" w:cs="Comic Sans MS"/>
          <w:b/>
          <w:bCs/>
          <w:color w:val="000000"/>
        </w:rPr>
        <w:t>Products</w:t>
      </w:r>
      <w:r w:rsidRPr="00EF5A75">
        <w:rPr>
          <w:rFonts w:ascii="Comic Sans MS" w:hAnsi="Comic Sans MS" w:cs="Comic Sans MS"/>
          <w:color w:val="000000"/>
        </w:rPr>
        <w:t xml:space="preserve"> - The course starts with a discussion of ”Delta 1” Equity Derivatives like Exchange Traded Funds, Futures, and Swaps.  These products trade dollar for dollar with the underlying security.  We then explore options based Equity and Credit products, like Equity Options, Structured Notes, Credit Default Swaps and Convertible Bonds.</w:t>
      </w:r>
    </w:p>
    <w:p w:rsidR="00833B45" w:rsidRPr="00EF5A75" w:rsidRDefault="00833B45" w:rsidP="00312B2D">
      <w:pPr>
        <w:spacing w:after="60"/>
        <w:rPr>
          <w:rFonts w:ascii="Comic Sans MS" w:hAnsi="Comic Sans MS" w:cs="Comic Sans MS"/>
          <w:color w:val="000000"/>
        </w:rPr>
      </w:pPr>
      <w:r w:rsidRPr="00EF5A75">
        <w:rPr>
          <w:rFonts w:ascii="Comic Sans MS" w:hAnsi="Comic Sans MS" w:cs="Comic Sans MS"/>
          <w:b/>
          <w:bCs/>
          <w:color w:val="000000"/>
        </w:rPr>
        <w:t>Strategies</w:t>
      </w:r>
      <w:r w:rsidRPr="00EF5A75">
        <w:rPr>
          <w:rFonts w:ascii="Comic Sans MS" w:hAnsi="Comic Sans MS" w:cs="Comic Sans MS"/>
          <w:color w:val="000000"/>
        </w:rPr>
        <w:t xml:space="preserve"> – </w:t>
      </w:r>
      <w:r w:rsidR="00700B00">
        <w:rPr>
          <w:rFonts w:ascii="Comic Sans MS" w:hAnsi="Comic Sans MS" w:cs="Comic Sans MS"/>
          <w:color w:val="000000"/>
        </w:rPr>
        <w:t>The second</w:t>
      </w:r>
      <w:r w:rsidRPr="00EF5A75">
        <w:rPr>
          <w:rFonts w:ascii="Comic Sans MS" w:hAnsi="Comic Sans MS" w:cs="Comic Sans MS"/>
          <w:color w:val="000000"/>
        </w:rPr>
        <w:t xml:space="preserve"> component of this course will revolve around how investors use these products through the combination of class discussions, guest sp</w:t>
      </w:r>
      <w:r w:rsidR="00E06F9A">
        <w:rPr>
          <w:rFonts w:ascii="Comic Sans MS" w:hAnsi="Comic Sans MS" w:cs="Comic Sans MS"/>
          <w:color w:val="000000"/>
        </w:rPr>
        <w:t xml:space="preserve">eakers and your final project. </w:t>
      </w:r>
      <w:r w:rsidRPr="00EF5A75">
        <w:rPr>
          <w:rFonts w:ascii="Comic Sans MS" w:hAnsi="Comic Sans MS" w:cs="Comic Sans MS"/>
          <w:color w:val="000000"/>
        </w:rPr>
        <w:t>Toward the end of the course, we will try to identify future trends that may affect the market.  We also look at historical events that shaped the markets.</w:t>
      </w:r>
    </w:p>
    <w:p w:rsidR="00833B45" w:rsidRPr="00EF5A75" w:rsidRDefault="00833B45" w:rsidP="00312B2D">
      <w:pPr>
        <w:spacing w:after="60" w:line="240" w:lineRule="auto"/>
        <w:rPr>
          <w:rFonts w:ascii="Comic Sans MS" w:hAnsi="Comic Sans MS"/>
          <w:b/>
        </w:rPr>
      </w:pPr>
      <w:r w:rsidRPr="00EF5A75">
        <w:rPr>
          <w:rFonts w:ascii="Comic Sans MS" w:hAnsi="Comic Sans MS"/>
          <w:b/>
        </w:rPr>
        <w:t>ASSIGNMENTS</w:t>
      </w:r>
    </w:p>
    <w:p w:rsidR="00094226" w:rsidRPr="00AC556C" w:rsidRDefault="00094226" w:rsidP="00094226">
      <w:pPr>
        <w:spacing w:after="120" w:line="240" w:lineRule="auto"/>
        <w:rPr>
          <w:rFonts w:ascii="Comic Sans MS" w:hAnsi="Comic Sans MS"/>
          <w:szCs w:val="21"/>
        </w:rPr>
      </w:pPr>
      <w:r w:rsidRPr="00AC556C">
        <w:rPr>
          <w:rFonts w:ascii="Comic Sans MS" w:hAnsi="Comic Sans MS"/>
          <w:b/>
          <w:szCs w:val="21"/>
        </w:rPr>
        <w:t xml:space="preserve">All assignments must be completed in writing with hard copies handed in before class.  </w:t>
      </w:r>
      <w:r w:rsidRPr="00AC556C">
        <w:rPr>
          <w:rFonts w:ascii="Comic Sans MS" w:hAnsi="Comic Sans MS"/>
          <w:szCs w:val="21"/>
        </w:rPr>
        <w:t>Some assignments will be Type A, some Type B.</w:t>
      </w:r>
    </w:p>
    <w:p w:rsidR="00094226" w:rsidRPr="00AC556C" w:rsidRDefault="00094226" w:rsidP="00094226">
      <w:pPr>
        <w:spacing w:after="120" w:line="240" w:lineRule="auto"/>
        <w:rPr>
          <w:rFonts w:ascii="Comic Sans MS" w:hAnsi="Comic Sans MS"/>
          <w:b/>
          <w:szCs w:val="21"/>
        </w:rPr>
      </w:pPr>
      <w:r w:rsidRPr="00AC556C">
        <w:rPr>
          <w:rFonts w:ascii="Comic Sans MS" w:hAnsi="Comic Sans MS"/>
          <w:szCs w:val="21"/>
        </w:rPr>
        <w:t xml:space="preserve">For Type A assignments, each student must participate in a group discussion regarding the assignment before submission and review and if needed edit the final submission.  </w:t>
      </w:r>
      <w:r w:rsidR="00EA4BE3">
        <w:rPr>
          <w:rFonts w:ascii="Comic Sans MS" w:hAnsi="Comic Sans MS"/>
          <w:szCs w:val="21"/>
        </w:rPr>
        <w:br/>
      </w:r>
      <w:r w:rsidRPr="00AC556C">
        <w:rPr>
          <w:rFonts w:ascii="Comic Sans MS" w:hAnsi="Comic Sans MS"/>
          <w:b/>
          <w:szCs w:val="21"/>
        </w:rPr>
        <w:t>Collaboration across groups is not allowed.</w:t>
      </w:r>
    </w:p>
    <w:p w:rsidR="00094226" w:rsidRPr="00AC556C" w:rsidRDefault="00094226" w:rsidP="00094226">
      <w:pPr>
        <w:spacing w:after="120" w:line="240" w:lineRule="auto"/>
        <w:rPr>
          <w:rFonts w:ascii="Comic Sans MS" w:hAnsi="Comic Sans MS"/>
          <w:szCs w:val="21"/>
        </w:rPr>
      </w:pPr>
      <w:r w:rsidRPr="00AC556C">
        <w:rPr>
          <w:rFonts w:ascii="Comic Sans MS" w:hAnsi="Comic Sans MS"/>
          <w:szCs w:val="21"/>
        </w:rPr>
        <w:t>For Type B Assignments, each student should attempt to answer the questions on their own before collaborating with other students.  Each student should hand in their own submission for Type B Assignments.</w:t>
      </w:r>
    </w:p>
    <w:p w:rsidR="00833B45" w:rsidRPr="00EF5A75" w:rsidRDefault="00833B45" w:rsidP="00312B2D">
      <w:pPr>
        <w:spacing w:after="60" w:line="240" w:lineRule="auto"/>
        <w:rPr>
          <w:rFonts w:ascii="Comic Sans MS" w:hAnsi="Comic Sans MS"/>
          <w:b/>
        </w:rPr>
      </w:pPr>
      <w:r w:rsidRPr="00EF5A75">
        <w:rPr>
          <w:rFonts w:ascii="Comic Sans MS" w:hAnsi="Comic Sans MS"/>
          <w:b/>
        </w:rPr>
        <w:t>METHOD OF EVALUATION</w:t>
      </w:r>
    </w:p>
    <w:tbl>
      <w:tblPr>
        <w:tblStyle w:val="TableGrid"/>
        <w:tblW w:w="0" w:type="auto"/>
        <w:tblLook w:val="04A0" w:firstRow="1" w:lastRow="0" w:firstColumn="1" w:lastColumn="0" w:noHBand="0" w:noVBand="1"/>
      </w:tblPr>
      <w:tblGrid>
        <w:gridCol w:w="3527"/>
        <w:gridCol w:w="1260"/>
      </w:tblGrid>
      <w:tr w:rsidR="00833B45" w:rsidRPr="00EF5A75" w:rsidTr="00CF3D81">
        <w:tc>
          <w:tcPr>
            <w:tcW w:w="3527" w:type="dxa"/>
            <w:vAlign w:val="center"/>
          </w:tcPr>
          <w:p w:rsidR="00833B45" w:rsidRPr="00EF5A75" w:rsidRDefault="00833B45" w:rsidP="00312B2D">
            <w:pPr>
              <w:spacing w:after="60"/>
            </w:pPr>
            <w:r w:rsidRPr="00EF5A75">
              <w:t>Class Participation and Assignments</w:t>
            </w:r>
          </w:p>
        </w:tc>
        <w:tc>
          <w:tcPr>
            <w:tcW w:w="1260" w:type="dxa"/>
            <w:vAlign w:val="center"/>
          </w:tcPr>
          <w:p w:rsidR="00833B45" w:rsidRPr="00EF5A75" w:rsidRDefault="00833B45" w:rsidP="00312B2D">
            <w:pPr>
              <w:spacing w:after="60"/>
            </w:pPr>
            <w:r w:rsidRPr="00EF5A75">
              <w:t>40%</w:t>
            </w:r>
          </w:p>
        </w:tc>
      </w:tr>
      <w:tr w:rsidR="00833B45" w:rsidRPr="00EF5A75" w:rsidTr="00CF3D81">
        <w:tc>
          <w:tcPr>
            <w:tcW w:w="3527" w:type="dxa"/>
            <w:vAlign w:val="center"/>
          </w:tcPr>
          <w:p w:rsidR="00833B45" w:rsidRPr="00EF5A75" w:rsidRDefault="00833B45" w:rsidP="00312B2D">
            <w:pPr>
              <w:spacing w:after="60"/>
            </w:pPr>
            <w:r w:rsidRPr="00EF5A75">
              <w:t>Take-Home Exam</w:t>
            </w:r>
          </w:p>
        </w:tc>
        <w:tc>
          <w:tcPr>
            <w:tcW w:w="1260" w:type="dxa"/>
            <w:vAlign w:val="center"/>
          </w:tcPr>
          <w:p w:rsidR="00833B45" w:rsidRPr="00EF5A75" w:rsidRDefault="00833B45" w:rsidP="00312B2D">
            <w:pPr>
              <w:spacing w:after="60"/>
            </w:pPr>
            <w:r w:rsidRPr="00EF5A75">
              <w:t>35%</w:t>
            </w:r>
          </w:p>
        </w:tc>
      </w:tr>
      <w:tr w:rsidR="00833B45" w:rsidRPr="00EF5A75" w:rsidTr="00CF3D81">
        <w:tc>
          <w:tcPr>
            <w:tcW w:w="3527" w:type="dxa"/>
            <w:vAlign w:val="center"/>
          </w:tcPr>
          <w:p w:rsidR="00833B45" w:rsidRPr="00EF5A75" w:rsidRDefault="00833B45" w:rsidP="00312B2D">
            <w:pPr>
              <w:spacing w:after="60"/>
            </w:pPr>
            <w:r w:rsidRPr="00EF5A75">
              <w:t>Final Project</w:t>
            </w:r>
          </w:p>
        </w:tc>
        <w:tc>
          <w:tcPr>
            <w:tcW w:w="1260" w:type="dxa"/>
            <w:vAlign w:val="center"/>
          </w:tcPr>
          <w:p w:rsidR="00833B45" w:rsidRPr="00EF5A75" w:rsidRDefault="00833B45" w:rsidP="00312B2D">
            <w:pPr>
              <w:spacing w:after="60"/>
            </w:pPr>
            <w:r w:rsidRPr="00EF5A75">
              <w:t>25%</w:t>
            </w:r>
          </w:p>
        </w:tc>
      </w:tr>
    </w:tbl>
    <w:p w:rsidR="0009290A" w:rsidRPr="00EF5A75" w:rsidRDefault="00833B45" w:rsidP="00312B2D">
      <w:pPr>
        <w:spacing w:before="120" w:after="60" w:line="240" w:lineRule="auto"/>
        <w:rPr>
          <w:rFonts w:ascii="Comic Sans MS" w:hAnsi="Comic Sans MS"/>
        </w:rPr>
      </w:pPr>
      <w:r w:rsidRPr="00EF5A75">
        <w:rPr>
          <w:rFonts w:ascii="Comic Sans MS" w:hAnsi="Comic Sans MS"/>
        </w:rPr>
        <w:t>An important component of Class Participation is attendance which will be tracked.  I reserve the right to downgrade (including failing) any student who misses a significant number of classes, or does not complete all of the assignments.  I will try to avoid cold calling, with the exception being case discussions.  During class, please do not use laptops, tablet computers, and smartphones.  Exceptions will be made with my prior approval.</w:t>
      </w:r>
      <w:r w:rsidR="008E6EEC">
        <w:rPr>
          <w:rFonts w:ascii="Comic Sans MS" w:hAnsi="Comic Sans MS"/>
        </w:rPr>
        <w:br/>
      </w:r>
    </w:p>
    <w:p w:rsidR="00EF5A75" w:rsidRPr="00EF5A75" w:rsidRDefault="008E6EEC" w:rsidP="00094C86">
      <w:pPr>
        <w:rPr>
          <w:rFonts w:ascii="Comic Sans MS" w:hAnsi="Comic Sans MS"/>
        </w:rPr>
      </w:pPr>
      <w:r>
        <w:rPr>
          <w:rFonts w:ascii="Comic Sans MS" w:hAnsi="Comic Sans MS"/>
        </w:rPr>
        <w:t>For the Final Project, each group will work with an industry practi</w:t>
      </w:r>
      <w:r w:rsidR="00FF686A">
        <w:rPr>
          <w:rFonts w:ascii="Comic Sans MS" w:hAnsi="Comic Sans MS"/>
        </w:rPr>
        <w:t>tion</w:t>
      </w:r>
      <w:r>
        <w:rPr>
          <w:rFonts w:ascii="Comic Sans MS" w:hAnsi="Comic Sans MS"/>
        </w:rPr>
        <w:t>er on a project they define. Your results will be presented to the class and hopefull</w:t>
      </w:r>
      <w:r w:rsidR="00D0263F">
        <w:rPr>
          <w:rFonts w:ascii="Comic Sans MS" w:hAnsi="Comic Sans MS"/>
        </w:rPr>
        <w:t>y, the practitioner will attend your presentation.</w:t>
      </w:r>
    </w:p>
    <w:p w:rsidR="00C15C73" w:rsidRPr="0000159C" w:rsidRDefault="00C15C73" w:rsidP="00094C86">
      <w:pPr>
        <w:rPr>
          <w:rFonts w:ascii="Comic Sans MS" w:hAnsi="Comic Sans MS"/>
          <w:b/>
        </w:rPr>
      </w:pPr>
      <w:r w:rsidRPr="0000159C">
        <w:rPr>
          <w:rFonts w:ascii="Comic Sans MS" w:hAnsi="Comic Sans MS"/>
          <w:b/>
        </w:rPr>
        <w:t>Course Outline</w:t>
      </w:r>
    </w:p>
    <w:p w:rsidR="00434A56" w:rsidRPr="0000159C" w:rsidRDefault="00155D35" w:rsidP="00434A56">
      <w:pPr>
        <w:tabs>
          <w:tab w:val="left" w:pos="450"/>
        </w:tabs>
        <w:spacing w:after="120"/>
        <w:rPr>
          <w:rFonts w:ascii="Comic Sans MS" w:hAnsi="Comic Sans MS"/>
          <w:b/>
        </w:rPr>
      </w:pPr>
      <w:r w:rsidRPr="0000159C">
        <w:rPr>
          <w:rFonts w:ascii="Comic Sans MS" w:hAnsi="Comic Sans MS" w:cs="Comic Sans MS"/>
          <w:b/>
        </w:rPr>
        <w:t>Section 1 – Products</w:t>
      </w:r>
    </w:p>
    <w:p w:rsidR="000C15F4" w:rsidRPr="00223B36" w:rsidRDefault="000C15F4" w:rsidP="000C15F4">
      <w:pPr>
        <w:pStyle w:val="ListParagraph"/>
        <w:numPr>
          <w:ilvl w:val="0"/>
          <w:numId w:val="12"/>
        </w:numPr>
        <w:tabs>
          <w:tab w:val="right" w:pos="9360"/>
        </w:tabs>
        <w:spacing w:after="120" w:line="240" w:lineRule="auto"/>
        <w:rPr>
          <w:rFonts w:ascii="Comic Sans MS" w:hAnsi="Comic Sans MS"/>
          <w:color w:val="000000"/>
        </w:rPr>
      </w:pPr>
      <w:r>
        <w:rPr>
          <w:rFonts w:ascii="Comic Sans MS" w:hAnsi="Comic Sans MS"/>
          <w:color w:val="000000"/>
        </w:rPr>
        <w:t>Course Introduction/</w:t>
      </w:r>
      <w:r w:rsidRPr="00223B36">
        <w:rPr>
          <w:rFonts w:ascii="Comic Sans MS" w:hAnsi="Comic Sans MS"/>
          <w:color w:val="000000"/>
        </w:rPr>
        <w:t>Indices</w:t>
      </w:r>
      <w:r>
        <w:rPr>
          <w:rFonts w:ascii="Comic Sans MS" w:hAnsi="Comic Sans MS"/>
          <w:color w:val="000000"/>
        </w:rPr>
        <w:t xml:space="preserve"> (</w:t>
      </w:r>
      <w:r w:rsidRPr="00223B36">
        <w:rPr>
          <w:rFonts w:ascii="Comic Sans MS" w:hAnsi="Comic Sans MS"/>
          <w:color w:val="000000"/>
        </w:rPr>
        <w:t>0</w:t>
      </w:r>
      <w:r>
        <w:rPr>
          <w:rFonts w:ascii="Comic Sans MS" w:hAnsi="Comic Sans MS"/>
          <w:color w:val="000000"/>
        </w:rPr>
        <w:t>1</w:t>
      </w:r>
      <w:r w:rsidRPr="00223B36">
        <w:rPr>
          <w:rFonts w:ascii="Comic Sans MS" w:hAnsi="Comic Sans MS"/>
          <w:color w:val="000000"/>
        </w:rPr>
        <w:t>/</w:t>
      </w:r>
      <w:r>
        <w:rPr>
          <w:rFonts w:ascii="Comic Sans MS" w:hAnsi="Comic Sans MS"/>
          <w:color w:val="000000"/>
        </w:rPr>
        <w:t>2</w:t>
      </w:r>
      <w:r w:rsidR="00B538BC">
        <w:rPr>
          <w:rFonts w:ascii="Comic Sans MS" w:hAnsi="Comic Sans MS"/>
          <w:color w:val="000000"/>
        </w:rPr>
        <w:t>4</w:t>
      </w:r>
      <w:r w:rsidRPr="00223B36">
        <w:rPr>
          <w:rFonts w:ascii="Comic Sans MS" w:hAnsi="Comic Sans MS"/>
          <w:color w:val="000000"/>
        </w:rPr>
        <w:t>)</w:t>
      </w:r>
    </w:p>
    <w:p w:rsidR="000C15F4" w:rsidRPr="00B415D8" w:rsidRDefault="000C15F4" w:rsidP="000C15F4">
      <w:pPr>
        <w:tabs>
          <w:tab w:val="left" w:pos="720"/>
          <w:tab w:val="left" w:pos="1440"/>
          <w:tab w:val="left" w:pos="2160"/>
          <w:tab w:val="right" w:pos="9000"/>
        </w:tabs>
        <w:spacing w:after="120" w:line="240" w:lineRule="auto"/>
        <w:ind w:left="360"/>
        <w:rPr>
          <w:rFonts w:ascii="Comic Sans MS" w:hAnsi="Comic Sans MS"/>
          <w:color w:val="000000"/>
        </w:rPr>
      </w:pPr>
      <w:r w:rsidRPr="00612572">
        <w:rPr>
          <w:rFonts w:ascii="Comic Sans MS" w:hAnsi="Comic Sans MS"/>
          <w:color w:val="000000"/>
        </w:rPr>
        <w:lastRenderedPageBreak/>
        <w:t>After a quick overview of the class, we introduce the measurement of trading costs, a concept that will b</w:t>
      </w:r>
      <w:r>
        <w:rPr>
          <w:rFonts w:ascii="Comic Sans MS" w:hAnsi="Comic Sans MS"/>
          <w:color w:val="000000"/>
        </w:rPr>
        <w:t xml:space="preserve">e used throughout the course.  </w:t>
      </w:r>
      <w:r w:rsidRPr="00612572">
        <w:rPr>
          <w:rFonts w:ascii="Comic Sans MS" w:hAnsi="Comic Sans MS"/>
          <w:color w:val="000000"/>
        </w:rPr>
        <w:t xml:space="preserve">This </w:t>
      </w:r>
      <w:r>
        <w:rPr>
          <w:rFonts w:ascii="Comic Sans MS" w:hAnsi="Comic Sans MS"/>
          <w:color w:val="000000"/>
        </w:rPr>
        <w:t>is followed by a discussion of I</w:t>
      </w:r>
      <w:r w:rsidRPr="00612572">
        <w:rPr>
          <w:rFonts w:ascii="Comic Sans MS" w:hAnsi="Comic Sans MS"/>
          <w:color w:val="000000"/>
        </w:rPr>
        <w:t>ndices, focusing on the ways th</w:t>
      </w:r>
      <w:r w:rsidR="00AC556C">
        <w:rPr>
          <w:rFonts w:ascii="Comic Sans MS" w:hAnsi="Comic Sans MS"/>
          <w:color w:val="000000"/>
        </w:rPr>
        <w:t>ey are constructed and traded.</w:t>
      </w:r>
    </w:p>
    <w:p w:rsidR="000C15F4" w:rsidRPr="00612572" w:rsidRDefault="000C15F4" w:rsidP="000C15F4">
      <w:pPr>
        <w:tabs>
          <w:tab w:val="left" w:pos="720"/>
          <w:tab w:val="left" w:pos="1440"/>
          <w:tab w:val="left" w:pos="2160"/>
          <w:tab w:val="right" w:pos="9000"/>
        </w:tabs>
        <w:spacing w:after="0" w:line="240" w:lineRule="auto"/>
        <w:ind w:left="360"/>
        <w:rPr>
          <w:rFonts w:ascii="Comic Sans MS" w:hAnsi="Comic Sans MS"/>
          <w:color w:val="000000"/>
        </w:rPr>
      </w:pPr>
      <w:r w:rsidRPr="00612572">
        <w:rPr>
          <w:rFonts w:ascii="Comic Sans MS" w:hAnsi="Comic Sans MS"/>
          <w:color w:val="000000"/>
        </w:rPr>
        <w:t>Readings:</w:t>
      </w:r>
    </w:p>
    <w:p w:rsidR="000C15F4" w:rsidRPr="00122916" w:rsidRDefault="00FF686A" w:rsidP="00122916">
      <w:pPr>
        <w:pStyle w:val="Header"/>
        <w:numPr>
          <w:ilvl w:val="0"/>
          <w:numId w:val="9"/>
        </w:numPr>
        <w:tabs>
          <w:tab w:val="clear" w:pos="2880"/>
          <w:tab w:val="clear" w:pos="4680"/>
          <w:tab w:val="clear" w:pos="9360"/>
          <w:tab w:val="left" w:pos="2100"/>
        </w:tabs>
        <w:overflowPunct w:val="0"/>
        <w:autoSpaceDE w:val="0"/>
        <w:autoSpaceDN w:val="0"/>
        <w:adjustRightInd w:val="0"/>
        <w:ind w:left="1080"/>
        <w:textAlignment w:val="baseline"/>
        <w:rPr>
          <w:rFonts w:ascii="Comic Sans MS" w:hAnsi="Comic Sans MS" w:cs="Comic Sans MS"/>
        </w:rPr>
      </w:pPr>
      <w:r w:rsidRPr="00122916">
        <w:rPr>
          <w:rFonts w:ascii="Comic Sans MS" w:hAnsi="Comic Sans MS" w:cs="Comic Sans MS"/>
        </w:rPr>
        <w:t>Chapter 1, pp. 3-7</w:t>
      </w:r>
    </w:p>
    <w:p w:rsidR="000C15F4" w:rsidRPr="00122916" w:rsidRDefault="000C15F4" w:rsidP="008E15F7">
      <w:pPr>
        <w:pStyle w:val="Header"/>
        <w:numPr>
          <w:ilvl w:val="0"/>
          <w:numId w:val="9"/>
        </w:numPr>
        <w:tabs>
          <w:tab w:val="clear" w:pos="2880"/>
          <w:tab w:val="clear" w:pos="4680"/>
          <w:tab w:val="clear" w:pos="9360"/>
          <w:tab w:val="left" w:pos="2100"/>
        </w:tabs>
        <w:overflowPunct w:val="0"/>
        <w:autoSpaceDE w:val="0"/>
        <w:autoSpaceDN w:val="0"/>
        <w:adjustRightInd w:val="0"/>
        <w:ind w:left="1080"/>
        <w:textAlignment w:val="baseline"/>
        <w:rPr>
          <w:rFonts w:ascii="Comic Sans MS" w:hAnsi="Comic Sans MS" w:cs="Comic Sans MS"/>
        </w:rPr>
      </w:pPr>
      <w:r w:rsidRPr="00122916">
        <w:rPr>
          <w:rFonts w:ascii="Comic Sans MS" w:hAnsi="Comic Sans MS" w:cs="Comic Sans MS"/>
        </w:rPr>
        <w:t>Not All Commodity Indexes Are Alike (PIMCO)</w:t>
      </w:r>
      <w:r w:rsidR="00112EDC" w:rsidRPr="00122916">
        <w:rPr>
          <w:rFonts w:ascii="Comic Sans MS" w:hAnsi="Comic Sans MS" w:cs="Comic Sans MS"/>
        </w:rPr>
        <w:t xml:space="preserve"> (LR)</w:t>
      </w:r>
      <w:r w:rsidR="008E15F7">
        <w:rPr>
          <w:rFonts w:ascii="Comic Sans MS" w:hAnsi="Comic Sans MS" w:cs="Comic Sans MS"/>
        </w:rPr>
        <w:br/>
      </w:r>
    </w:p>
    <w:p w:rsidR="00C630EE" w:rsidRPr="0000159C" w:rsidRDefault="00155D35" w:rsidP="00434A56">
      <w:pPr>
        <w:tabs>
          <w:tab w:val="left" w:pos="450"/>
        </w:tabs>
        <w:spacing w:after="120"/>
        <w:rPr>
          <w:rFonts w:ascii="Comic Sans MS" w:hAnsi="Comic Sans MS" w:cs="Comic Sans MS"/>
        </w:rPr>
      </w:pPr>
      <w:r w:rsidRPr="0000159C">
        <w:rPr>
          <w:rFonts w:ascii="Comic Sans MS" w:hAnsi="Comic Sans MS" w:cs="Comic Sans MS"/>
        </w:rPr>
        <w:t>2.</w:t>
      </w:r>
      <w:r w:rsidRPr="0000159C">
        <w:rPr>
          <w:rFonts w:ascii="Comic Sans MS" w:hAnsi="Comic Sans MS" w:cs="Comic Sans MS"/>
        </w:rPr>
        <w:tab/>
      </w:r>
      <w:r w:rsidR="0083277E">
        <w:rPr>
          <w:rFonts w:ascii="Comic Sans MS" w:hAnsi="Comic Sans MS" w:cs="Comic Sans MS"/>
        </w:rPr>
        <w:t xml:space="preserve">Exchange Traded Funds </w:t>
      </w:r>
      <w:r w:rsidR="00C630EE" w:rsidRPr="0000159C">
        <w:rPr>
          <w:rFonts w:ascii="Comic Sans MS" w:hAnsi="Comic Sans MS"/>
        </w:rPr>
        <w:t>(</w:t>
      </w:r>
      <w:r w:rsidR="000C15F4" w:rsidRPr="000C15F4">
        <w:rPr>
          <w:rFonts w:ascii="Comic Sans MS" w:hAnsi="Comic Sans MS" w:cs="Comic Sans MS"/>
        </w:rPr>
        <w:t>01</w:t>
      </w:r>
      <w:r w:rsidR="00C630EE" w:rsidRPr="0055277C">
        <w:rPr>
          <w:rFonts w:ascii="Comic Sans MS" w:hAnsi="Comic Sans MS" w:cs="Comic Sans MS"/>
        </w:rPr>
        <w:t>/</w:t>
      </w:r>
      <w:r w:rsidR="009159E2">
        <w:rPr>
          <w:rFonts w:ascii="Comic Sans MS" w:hAnsi="Comic Sans MS" w:cs="Comic Sans MS"/>
        </w:rPr>
        <w:t>2</w:t>
      </w:r>
      <w:r w:rsidR="00B538BC">
        <w:rPr>
          <w:rFonts w:ascii="Comic Sans MS" w:hAnsi="Comic Sans MS" w:cs="Comic Sans MS"/>
        </w:rPr>
        <w:t>6</w:t>
      </w:r>
      <w:r w:rsidR="00C630EE" w:rsidRPr="0000159C">
        <w:rPr>
          <w:rFonts w:ascii="Comic Sans MS" w:hAnsi="Comic Sans MS"/>
        </w:rPr>
        <w:t>)</w:t>
      </w:r>
    </w:p>
    <w:p w:rsidR="00155D35" w:rsidRPr="0000159C" w:rsidRDefault="000C15F4" w:rsidP="00434A56">
      <w:pPr>
        <w:pStyle w:val="Header"/>
        <w:spacing w:after="120"/>
        <w:ind w:left="446" w:right="720"/>
        <w:rPr>
          <w:rFonts w:ascii="Comic Sans MS" w:hAnsi="Comic Sans MS" w:cs="Comic Sans MS"/>
        </w:rPr>
      </w:pPr>
      <w:r>
        <w:rPr>
          <w:rFonts w:ascii="Comic Sans MS" w:hAnsi="Comic Sans MS" w:cs="Comic Sans MS"/>
        </w:rPr>
        <w:t xml:space="preserve">After completing Indices, </w:t>
      </w:r>
      <w:r w:rsidR="0089006E">
        <w:rPr>
          <w:rFonts w:ascii="Comic Sans MS" w:hAnsi="Comic Sans MS" w:cs="Comic Sans MS"/>
        </w:rPr>
        <w:t>we explore</w:t>
      </w:r>
      <w:r w:rsidR="00155D35" w:rsidRPr="0000159C">
        <w:rPr>
          <w:rFonts w:ascii="Comic Sans MS" w:hAnsi="Comic Sans MS" w:cs="Comic Sans MS"/>
        </w:rPr>
        <w:t xml:space="preserve"> Exchange Traded Funds, addressing how they are created, what forces impact the way they trade and how they compare to other index products.  ETFs have expanded into new markets like Fixed Income, Commodities and Currencies, providing individual investors choices that have historically been only available to institutions.</w:t>
      </w:r>
    </w:p>
    <w:p w:rsidR="00155D35" w:rsidRPr="0000159C" w:rsidRDefault="00155D35" w:rsidP="002C5A21">
      <w:pPr>
        <w:pStyle w:val="Header"/>
        <w:ind w:left="446" w:right="720"/>
        <w:rPr>
          <w:rFonts w:ascii="Comic Sans MS" w:hAnsi="Comic Sans MS" w:cs="Comic Sans MS"/>
        </w:rPr>
      </w:pPr>
      <w:r w:rsidRPr="0000159C">
        <w:rPr>
          <w:rFonts w:ascii="Comic Sans MS" w:hAnsi="Comic Sans MS" w:cs="Comic Sans MS"/>
        </w:rPr>
        <w:t>Readings:</w:t>
      </w:r>
    </w:p>
    <w:p w:rsidR="00155D35" w:rsidRDefault="00155D35" w:rsidP="000C15F4">
      <w:pPr>
        <w:pStyle w:val="Header"/>
        <w:numPr>
          <w:ilvl w:val="0"/>
          <w:numId w:val="9"/>
        </w:numPr>
        <w:tabs>
          <w:tab w:val="clear" w:pos="2880"/>
          <w:tab w:val="clear" w:pos="4680"/>
          <w:tab w:val="clear" w:pos="9360"/>
          <w:tab w:val="left" w:pos="2100"/>
        </w:tabs>
        <w:overflowPunct w:val="0"/>
        <w:autoSpaceDE w:val="0"/>
        <w:autoSpaceDN w:val="0"/>
        <w:adjustRightInd w:val="0"/>
        <w:ind w:left="1080"/>
        <w:textAlignment w:val="baseline"/>
        <w:rPr>
          <w:rFonts w:ascii="Comic Sans MS" w:hAnsi="Comic Sans MS" w:cs="Comic Sans MS"/>
        </w:rPr>
      </w:pPr>
      <w:r w:rsidRPr="0000159C">
        <w:rPr>
          <w:rFonts w:ascii="Comic Sans MS" w:hAnsi="Comic Sans MS" w:cs="Comic Sans MS"/>
        </w:rPr>
        <w:t>ETFs for the Single Stock Manager</w:t>
      </w:r>
      <w:r w:rsidR="007B3FB4">
        <w:rPr>
          <w:rFonts w:ascii="Comic Sans MS" w:hAnsi="Comic Sans MS" w:cs="Comic Sans MS"/>
        </w:rPr>
        <w:t>:</w:t>
      </w:r>
      <w:r w:rsidR="007B3FB4" w:rsidRPr="007B3FB4">
        <w:t xml:space="preserve"> </w:t>
      </w:r>
      <w:r w:rsidR="007B3FB4">
        <w:t xml:space="preserve"> </w:t>
      </w:r>
      <w:r w:rsidR="007B3FB4" w:rsidRPr="007B3FB4">
        <w:rPr>
          <w:rFonts w:ascii="Comic Sans MS" w:hAnsi="Comic Sans MS" w:cs="Comic Sans MS"/>
        </w:rPr>
        <w:t>Correlations, Myths, &amp; Realities</w:t>
      </w:r>
      <w:r w:rsidR="00112EDC">
        <w:rPr>
          <w:rFonts w:ascii="Comic Sans MS" w:hAnsi="Comic Sans MS" w:cs="Comic Sans MS"/>
        </w:rPr>
        <w:t xml:space="preserve"> (</w:t>
      </w:r>
      <w:r w:rsidR="00A2156E">
        <w:rPr>
          <w:rFonts w:ascii="Comic Sans MS" w:hAnsi="Comic Sans MS" w:cs="Comic Sans MS"/>
        </w:rPr>
        <w:t>PDF</w:t>
      </w:r>
      <w:r w:rsidR="00112EDC">
        <w:rPr>
          <w:rFonts w:ascii="Comic Sans MS" w:hAnsi="Comic Sans MS" w:cs="Comic Sans MS"/>
        </w:rPr>
        <w:t>)</w:t>
      </w:r>
    </w:p>
    <w:p w:rsidR="000C15F4" w:rsidRDefault="00B11C6D" w:rsidP="007D1C5E">
      <w:pPr>
        <w:pStyle w:val="Header"/>
        <w:numPr>
          <w:ilvl w:val="0"/>
          <w:numId w:val="9"/>
        </w:numPr>
        <w:tabs>
          <w:tab w:val="clear" w:pos="2880"/>
          <w:tab w:val="clear" w:pos="4680"/>
          <w:tab w:val="clear" w:pos="9360"/>
          <w:tab w:val="left" w:pos="2100"/>
        </w:tabs>
        <w:overflowPunct w:val="0"/>
        <w:autoSpaceDE w:val="0"/>
        <w:autoSpaceDN w:val="0"/>
        <w:adjustRightInd w:val="0"/>
        <w:spacing w:after="120"/>
        <w:ind w:left="1080"/>
        <w:textAlignment w:val="baseline"/>
        <w:rPr>
          <w:rFonts w:ascii="Comic Sans MS" w:hAnsi="Comic Sans MS" w:cs="Comic Sans MS"/>
        </w:rPr>
      </w:pPr>
      <w:hyperlink r:id="rId10" w:history="1">
        <w:r w:rsidR="000C15F4" w:rsidRPr="002F58D4">
          <w:rPr>
            <w:rStyle w:val="Hyperlink"/>
            <w:rFonts w:ascii="Comic Sans MS" w:hAnsi="Comic Sans MS" w:cs="Comic Sans MS"/>
          </w:rPr>
          <w:t>The Evolution and Success of Index Strategies in ETFs</w:t>
        </w:r>
      </w:hyperlink>
      <w:r w:rsidR="002F58D4">
        <w:rPr>
          <w:rFonts w:ascii="Comic Sans MS" w:hAnsi="Comic Sans MS" w:cs="Comic Sans MS"/>
        </w:rPr>
        <w:t xml:space="preserve"> (Hill, Joanne M.) (</w:t>
      </w:r>
      <w:hyperlink r:id="rId11" w:history="1">
        <w:r w:rsidR="002F58D4" w:rsidRPr="002F58D4">
          <w:rPr>
            <w:rStyle w:val="Hyperlink"/>
            <w:rFonts w:ascii="Comic Sans MS" w:hAnsi="Comic Sans MS" w:cs="Comic Sans MS"/>
          </w:rPr>
          <w:t>http://www.cfapubs.org/doi/pdf/10.2469/faj.v72.n5.2</w:t>
        </w:r>
      </w:hyperlink>
      <w:r w:rsidR="002F58D4">
        <w:rPr>
          <w:rFonts w:ascii="Comic Sans MS" w:hAnsi="Comic Sans MS" w:cs="Comic Sans MS"/>
        </w:rPr>
        <w:t>)</w:t>
      </w:r>
    </w:p>
    <w:p w:rsidR="008E15F7" w:rsidRPr="0000159C" w:rsidRDefault="008E15F7" w:rsidP="008E15F7">
      <w:pPr>
        <w:pStyle w:val="Header"/>
        <w:tabs>
          <w:tab w:val="clear" w:pos="4680"/>
          <w:tab w:val="clear" w:pos="9360"/>
          <w:tab w:val="left" w:pos="2100"/>
        </w:tabs>
        <w:overflowPunct w:val="0"/>
        <w:autoSpaceDE w:val="0"/>
        <w:autoSpaceDN w:val="0"/>
        <w:adjustRightInd w:val="0"/>
        <w:spacing w:after="120"/>
        <w:ind w:left="1080"/>
        <w:textAlignment w:val="baseline"/>
        <w:rPr>
          <w:rFonts w:ascii="Comic Sans MS" w:hAnsi="Comic Sans MS" w:cs="Comic Sans MS"/>
        </w:rPr>
      </w:pPr>
    </w:p>
    <w:p w:rsidR="00155D35" w:rsidRPr="0000159C" w:rsidRDefault="0083277E" w:rsidP="008E15F7">
      <w:pPr>
        <w:tabs>
          <w:tab w:val="left" w:pos="450"/>
        </w:tabs>
        <w:spacing w:after="120" w:line="240" w:lineRule="auto"/>
        <w:rPr>
          <w:rFonts w:ascii="Comic Sans MS" w:hAnsi="Comic Sans MS" w:cs="Comic Sans MS"/>
        </w:rPr>
      </w:pPr>
      <w:r>
        <w:rPr>
          <w:rFonts w:ascii="Comic Sans MS" w:hAnsi="Comic Sans MS" w:cs="Comic Sans MS"/>
        </w:rPr>
        <w:t>3.</w:t>
      </w:r>
      <w:r>
        <w:rPr>
          <w:rFonts w:ascii="Comic Sans MS" w:hAnsi="Comic Sans MS" w:cs="Comic Sans MS"/>
        </w:rPr>
        <w:tab/>
        <w:t>Stock Index Futures</w:t>
      </w:r>
      <w:r w:rsidR="00192CA6" w:rsidRPr="0000159C">
        <w:rPr>
          <w:rFonts w:ascii="Comic Sans MS" w:hAnsi="Comic Sans MS" w:cs="Comic Sans MS"/>
        </w:rPr>
        <w:t xml:space="preserve"> (</w:t>
      </w:r>
      <w:r w:rsidR="00B538BC">
        <w:rPr>
          <w:rFonts w:ascii="Comic Sans MS" w:hAnsi="Comic Sans MS" w:cs="Comic Sans MS"/>
        </w:rPr>
        <w:t>01/29</w:t>
      </w:r>
      <w:r w:rsidR="00155D35" w:rsidRPr="0000159C">
        <w:rPr>
          <w:rFonts w:ascii="Comic Sans MS" w:hAnsi="Comic Sans MS" w:cs="Comic Sans MS"/>
        </w:rPr>
        <w:t>)</w:t>
      </w:r>
    </w:p>
    <w:p w:rsidR="00155D35" w:rsidRPr="0000159C" w:rsidRDefault="00DF3D8E" w:rsidP="002C5A21">
      <w:pPr>
        <w:spacing w:after="120"/>
        <w:ind w:left="450" w:right="720"/>
        <w:rPr>
          <w:rFonts w:ascii="Comic Sans MS" w:hAnsi="Comic Sans MS" w:cs="Comic Sans MS"/>
        </w:rPr>
      </w:pPr>
      <w:r>
        <w:rPr>
          <w:rFonts w:ascii="Comic Sans MS" w:hAnsi="Comic Sans MS" w:cs="Comic Sans MS"/>
        </w:rPr>
        <w:t xml:space="preserve">After completing ETFs, </w:t>
      </w:r>
      <w:r w:rsidR="00F81126">
        <w:rPr>
          <w:rFonts w:ascii="Comic Sans MS" w:hAnsi="Comic Sans MS" w:cs="Comic Sans MS"/>
        </w:rPr>
        <w:t>we move on to</w:t>
      </w:r>
      <w:r w:rsidR="00155D35" w:rsidRPr="0000159C">
        <w:rPr>
          <w:rFonts w:ascii="Comic Sans MS" w:hAnsi="Comic Sans MS" w:cs="Comic Sans MS"/>
        </w:rPr>
        <w:t xml:space="preserve"> Stock Index Futures, describing how the markets operate and how futures are valued.  We then compare the cost, return, and risk of futures to ETFs.</w:t>
      </w:r>
    </w:p>
    <w:p w:rsidR="00155D35" w:rsidRPr="0000159C" w:rsidRDefault="00155D35" w:rsidP="002C5A21">
      <w:pPr>
        <w:spacing w:after="0"/>
        <w:ind w:left="446" w:right="720"/>
        <w:rPr>
          <w:rFonts w:ascii="Comic Sans MS" w:hAnsi="Comic Sans MS" w:cs="Comic Sans MS"/>
        </w:rPr>
      </w:pPr>
      <w:r w:rsidRPr="0000159C">
        <w:rPr>
          <w:rFonts w:ascii="Comic Sans MS" w:hAnsi="Comic Sans MS" w:cs="Comic Sans MS"/>
        </w:rPr>
        <w:t>Readings:</w:t>
      </w:r>
    </w:p>
    <w:p w:rsidR="00263C47" w:rsidRDefault="00263C47" w:rsidP="00263C47">
      <w:pPr>
        <w:pStyle w:val="Header"/>
        <w:numPr>
          <w:ilvl w:val="0"/>
          <w:numId w:val="9"/>
        </w:numPr>
        <w:tabs>
          <w:tab w:val="clear" w:pos="2880"/>
          <w:tab w:val="clear" w:pos="4680"/>
          <w:tab w:val="clear" w:pos="9360"/>
          <w:tab w:val="left" w:pos="2100"/>
        </w:tabs>
        <w:overflowPunct w:val="0"/>
        <w:autoSpaceDE w:val="0"/>
        <w:autoSpaceDN w:val="0"/>
        <w:adjustRightInd w:val="0"/>
        <w:ind w:left="1080"/>
        <w:textAlignment w:val="baseline"/>
        <w:rPr>
          <w:rFonts w:ascii="Comic Sans MS" w:hAnsi="Comic Sans MS" w:cs="Comic Sans MS"/>
        </w:rPr>
      </w:pPr>
      <w:r w:rsidRPr="0000159C">
        <w:rPr>
          <w:rFonts w:ascii="Comic Sans MS" w:hAnsi="Comic Sans MS" w:cs="Comic Sans MS"/>
        </w:rPr>
        <w:t xml:space="preserve">Chapter </w:t>
      </w:r>
      <w:r>
        <w:rPr>
          <w:rFonts w:ascii="Comic Sans MS" w:hAnsi="Comic Sans MS" w:cs="Comic Sans MS"/>
        </w:rPr>
        <w:t>1, p</w:t>
      </w:r>
      <w:r w:rsidR="00EA4BE3">
        <w:rPr>
          <w:rFonts w:ascii="Comic Sans MS" w:hAnsi="Comic Sans MS" w:cs="Comic Sans MS"/>
        </w:rPr>
        <w:t>p. 16-19; Chapter 4, pp. 73-78</w:t>
      </w:r>
    </w:p>
    <w:p w:rsidR="00263C47" w:rsidRPr="00263C47" w:rsidRDefault="00263C47" w:rsidP="00263C47">
      <w:pPr>
        <w:pStyle w:val="Header"/>
        <w:numPr>
          <w:ilvl w:val="0"/>
          <w:numId w:val="9"/>
        </w:numPr>
        <w:tabs>
          <w:tab w:val="clear" w:pos="2880"/>
          <w:tab w:val="clear" w:pos="4680"/>
          <w:tab w:val="clear" w:pos="9360"/>
          <w:tab w:val="left" w:pos="2100"/>
        </w:tabs>
        <w:overflowPunct w:val="0"/>
        <w:autoSpaceDE w:val="0"/>
        <w:autoSpaceDN w:val="0"/>
        <w:adjustRightInd w:val="0"/>
        <w:ind w:left="1080"/>
        <w:textAlignment w:val="baseline"/>
        <w:rPr>
          <w:rFonts w:ascii="Comic Sans MS" w:hAnsi="Comic Sans MS" w:cs="Comic Sans MS"/>
        </w:rPr>
      </w:pPr>
      <w:r w:rsidRPr="00263C47">
        <w:rPr>
          <w:rFonts w:ascii="Comic Sans MS" w:hAnsi="Comic Sans MS" w:cs="Comic Sans MS"/>
        </w:rPr>
        <w:t>Chapter 9, pp. 273-276</w:t>
      </w:r>
    </w:p>
    <w:p w:rsidR="00913360" w:rsidRPr="0000159C" w:rsidRDefault="004F1E26" w:rsidP="002A62C8">
      <w:pPr>
        <w:tabs>
          <w:tab w:val="left" w:pos="450"/>
        </w:tabs>
        <w:spacing w:after="120"/>
        <w:rPr>
          <w:rFonts w:ascii="Comic Sans MS" w:hAnsi="Comic Sans MS" w:cs="Comic Sans MS"/>
        </w:rPr>
      </w:pPr>
      <w:r>
        <w:rPr>
          <w:rFonts w:ascii="Comic Sans MS" w:hAnsi="Comic Sans MS" w:cs="Comic Sans MS"/>
        </w:rPr>
        <w:br/>
      </w:r>
      <w:r w:rsidR="00155D35" w:rsidRPr="0000159C">
        <w:rPr>
          <w:rFonts w:ascii="Comic Sans MS" w:hAnsi="Comic Sans MS" w:cs="Comic Sans MS"/>
        </w:rPr>
        <w:t>4.</w:t>
      </w:r>
      <w:r w:rsidR="00155D35" w:rsidRPr="0000159C">
        <w:rPr>
          <w:rFonts w:ascii="Comic Sans MS" w:hAnsi="Comic Sans MS" w:cs="Comic Sans MS"/>
        </w:rPr>
        <w:tab/>
      </w:r>
      <w:r w:rsidR="002A62C8" w:rsidRPr="0000159C">
        <w:rPr>
          <w:rFonts w:ascii="Comic Sans MS" w:hAnsi="Comic Sans MS" w:cs="Comic Sans MS"/>
        </w:rPr>
        <w:t>Equit</w:t>
      </w:r>
      <w:r w:rsidR="00F81126">
        <w:rPr>
          <w:rFonts w:ascii="Comic Sans MS" w:hAnsi="Comic Sans MS" w:cs="Comic Sans MS"/>
        </w:rPr>
        <w:t xml:space="preserve">y Index </w:t>
      </w:r>
      <w:r w:rsidR="003B4D3B">
        <w:rPr>
          <w:rFonts w:ascii="Comic Sans MS" w:hAnsi="Comic Sans MS" w:cs="Comic Sans MS"/>
        </w:rPr>
        <w:t xml:space="preserve">Swaps </w:t>
      </w:r>
      <w:r w:rsidR="00E9443C">
        <w:rPr>
          <w:rFonts w:ascii="Comic Sans MS" w:hAnsi="Comic Sans MS" w:cs="Comic Sans MS"/>
        </w:rPr>
        <w:t>(</w:t>
      </w:r>
      <w:r w:rsidR="009159E2">
        <w:rPr>
          <w:rFonts w:ascii="Comic Sans MS" w:hAnsi="Comic Sans MS" w:cs="Comic Sans MS"/>
        </w:rPr>
        <w:t>0</w:t>
      </w:r>
      <w:r w:rsidR="00B538BC">
        <w:rPr>
          <w:rFonts w:ascii="Comic Sans MS" w:hAnsi="Comic Sans MS" w:cs="Comic Sans MS"/>
        </w:rPr>
        <w:t>1/31</w:t>
      </w:r>
      <w:r w:rsidR="00E9443C">
        <w:rPr>
          <w:rFonts w:ascii="Comic Sans MS" w:hAnsi="Comic Sans MS" w:cs="Comic Sans MS"/>
        </w:rPr>
        <w:t>)</w:t>
      </w:r>
    </w:p>
    <w:p w:rsidR="002A62C8" w:rsidRPr="0000159C" w:rsidRDefault="00EC086B" w:rsidP="002A62C8">
      <w:pPr>
        <w:pStyle w:val="Subtitle"/>
        <w:spacing w:after="120"/>
        <w:ind w:left="450" w:right="720"/>
        <w:rPr>
          <w:b w:val="0"/>
          <w:bCs/>
          <w:sz w:val="22"/>
          <w:szCs w:val="22"/>
        </w:rPr>
      </w:pPr>
      <w:r>
        <w:rPr>
          <w:b w:val="0"/>
          <w:sz w:val="22"/>
          <w:szCs w:val="22"/>
        </w:rPr>
        <w:t xml:space="preserve">After completing Futures, </w:t>
      </w:r>
      <w:r w:rsidR="00F81126">
        <w:rPr>
          <w:b w:val="0"/>
          <w:sz w:val="22"/>
          <w:szCs w:val="22"/>
        </w:rPr>
        <w:t>we review</w:t>
      </w:r>
      <w:r w:rsidR="002A62C8" w:rsidRPr="0000159C">
        <w:rPr>
          <w:b w:val="0"/>
          <w:sz w:val="22"/>
          <w:szCs w:val="22"/>
        </w:rPr>
        <w:t xml:space="preserve"> Equity Index Swaps, </w:t>
      </w:r>
      <w:r w:rsidR="00AC556C">
        <w:rPr>
          <w:b w:val="0"/>
          <w:sz w:val="22"/>
          <w:szCs w:val="22"/>
        </w:rPr>
        <w:t>comparing them to</w:t>
      </w:r>
      <w:r w:rsidR="002A62C8" w:rsidRPr="0000159C">
        <w:rPr>
          <w:b w:val="0"/>
          <w:sz w:val="22"/>
          <w:szCs w:val="22"/>
        </w:rPr>
        <w:t xml:space="preserve"> ETFs</w:t>
      </w:r>
      <w:r w:rsidR="00AC556C">
        <w:rPr>
          <w:b w:val="0"/>
          <w:sz w:val="22"/>
          <w:szCs w:val="22"/>
        </w:rPr>
        <w:t xml:space="preserve"> and Stock Index Futures</w:t>
      </w:r>
      <w:r w:rsidR="002A62C8" w:rsidRPr="0000159C">
        <w:rPr>
          <w:b w:val="0"/>
          <w:sz w:val="22"/>
          <w:szCs w:val="22"/>
        </w:rPr>
        <w:t>.</w:t>
      </w:r>
    </w:p>
    <w:p w:rsidR="002A62C8" w:rsidRPr="0000159C" w:rsidRDefault="002A62C8" w:rsidP="002A62C8">
      <w:pPr>
        <w:pStyle w:val="BodyText2"/>
        <w:ind w:left="450" w:right="720" w:firstLine="0"/>
        <w:rPr>
          <w:sz w:val="22"/>
          <w:szCs w:val="22"/>
        </w:rPr>
      </w:pPr>
      <w:r w:rsidRPr="0000159C">
        <w:rPr>
          <w:sz w:val="22"/>
          <w:szCs w:val="22"/>
        </w:rPr>
        <w:t>Readings:</w:t>
      </w:r>
    </w:p>
    <w:p w:rsidR="005222CD" w:rsidRPr="00D47E3B" w:rsidRDefault="002A62C8" w:rsidP="00122916">
      <w:pPr>
        <w:pStyle w:val="Header"/>
        <w:numPr>
          <w:ilvl w:val="0"/>
          <w:numId w:val="9"/>
        </w:numPr>
        <w:tabs>
          <w:tab w:val="clear" w:pos="2880"/>
          <w:tab w:val="clear" w:pos="4680"/>
          <w:tab w:val="clear" w:pos="9360"/>
          <w:tab w:val="left" w:pos="2100"/>
        </w:tabs>
        <w:overflowPunct w:val="0"/>
        <w:autoSpaceDE w:val="0"/>
        <w:autoSpaceDN w:val="0"/>
        <w:adjustRightInd w:val="0"/>
        <w:ind w:left="1080"/>
        <w:textAlignment w:val="baseline"/>
        <w:rPr>
          <w:rFonts w:ascii="Comic Sans MS" w:hAnsi="Comic Sans MS" w:cs="Comic Sans MS"/>
        </w:rPr>
      </w:pPr>
      <w:r w:rsidRPr="0000159C">
        <w:rPr>
          <w:rFonts w:ascii="Comic Sans MS" w:hAnsi="Comic Sans MS" w:cs="Comic Sans MS"/>
        </w:rPr>
        <w:t>Making Alpha Portable</w:t>
      </w:r>
      <w:r w:rsidR="00B65404">
        <w:rPr>
          <w:rFonts w:ascii="Comic Sans MS" w:hAnsi="Comic Sans MS" w:cs="Comic Sans MS"/>
        </w:rPr>
        <w:t xml:space="preserve"> </w:t>
      </w:r>
      <w:r w:rsidR="00D47E3B">
        <w:rPr>
          <w:rFonts w:ascii="Comic Sans MS" w:hAnsi="Comic Sans MS" w:cs="Comic Sans MS"/>
        </w:rPr>
        <w:t>(PDF)</w:t>
      </w:r>
      <w:r w:rsidR="00EA4BE3">
        <w:rPr>
          <w:rFonts w:ascii="Comic Sans MS" w:hAnsi="Comic Sans MS" w:cs="Comic Sans MS"/>
        </w:rPr>
        <w:br/>
      </w:r>
    </w:p>
    <w:p w:rsidR="00381E37" w:rsidRDefault="00381E37" w:rsidP="00B65404">
      <w:pPr>
        <w:tabs>
          <w:tab w:val="left" w:pos="450"/>
        </w:tabs>
        <w:spacing w:after="120"/>
        <w:rPr>
          <w:rFonts w:ascii="Comic Sans MS" w:hAnsi="Comic Sans MS"/>
          <w:color w:val="000000"/>
        </w:rPr>
      </w:pPr>
      <w:r>
        <w:rPr>
          <w:rFonts w:ascii="Comic Sans MS" w:hAnsi="Comic Sans MS"/>
          <w:color w:val="000000"/>
        </w:rPr>
        <w:t>5.</w:t>
      </w:r>
      <w:r>
        <w:rPr>
          <w:rFonts w:ascii="Comic Sans MS" w:hAnsi="Comic Sans MS"/>
          <w:color w:val="000000"/>
        </w:rPr>
        <w:tab/>
      </w:r>
      <w:r w:rsidR="00B65404">
        <w:rPr>
          <w:rFonts w:ascii="Comic Sans MS" w:hAnsi="Comic Sans MS"/>
          <w:color w:val="000000"/>
        </w:rPr>
        <w:t xml:space="preserve">Single Stock </w:t>
      </w:r>
      <w:r w:rsidR="005222CD">
        <w:rPr>
          <w:rFonts w:ascii="Comic Sans MS" w:hAnsi="Comic Sans MS"/>
          <w:color w:val="000000"/>
        </w:rPr>
        <w:t>Swaps</w:t>
      </w:r>
      <w:r>
        <w:rPr>
          <w:rFonts w:ascii="Comic Sans MS" w:hAnsi="Comic Sans MS"/>
          <w:color w:val="000000"/>
        </w:rPr>
        <w:t xml:space="preserve"> </w:t>
      </w:r>
      <w:r w:rsidRPr="0000159C">
        <w:rPr>
          <w:rFonts w:ascii="Comic Sans MS" w:hAnsi="Comic Sans MS"/>
          <w:color w:val="000000"/>
        </w:rPr>
        <w:t>(</w:t>
      </w:r>
      <w:r w:rsidR="009159E2">
        <w:rPr>
          <w:rFonts w:ascii="Comic Sans MS" w:hAnsi="Comic Sans MS" w:cs="Comic Sans MS"/>
        </w:rPr>
        <w:t>0</w:t>
      </w:r>
      <w:r w:rsidR="009159E2" w:rsidRPr="0000159C">
        <w:rPr>
          <w:rFonts w:ascii="Comic Sans MS" w:hAnsi="Comic Sans MS" w:cs="Comic Sans MS"/>
        </w:rPr>
        <w:t>2/</w:t>
      </w:r>
      <w:r w:rsidR="009159E2">
        <w:rPr>
          <w:rFonts w:ascii="Comic Sans MS" w:hAnsi="Comic Sans MS" w:cs="Comic Sans MS"/>
        </w:rPr>
        <w:t>0</w:t>
      </w:r>
      <w:r w:rsidR="00B538BC">
        <w:rPr>
          <w:rFonts w:ascii="Comic Sans MS" w:hAnsi="Comic Sans MS" w:cs="Comic Sans MS"/>
        </w:rPr>
        <w:t>5</w:t>
      </w:r>
      <w:r w:rsidRPr="0000159C">
        <w:rPr>
          <w:rFonts w:ascii="Comic Sans MS" w:hAnsi="Comic Sans MS"/>
          <w:color w:val="000000"/>
        </w:rPr>
        <w:t>)</w:t>
      </w:r>
    </w:p>
    <w:p w:rsidR="00381E37" w:rsidRPr="00381E37" w:rsidRDefault="009B1015" w:rsidP="00381E37">
      <w:pPr>
        <w:pStyle w:val="Subtitle"/>
        <w:spacing w:after="120"/>
        <w:ind w:left="450" w:right="720"/>
        <w:rPr>
          <w:b w:val="0"/>
          <w:sz w:val="22"/>
          <w:szCs w:val="22"/>
        </w:rPr>
      </w:pPr>
      <w:r>
        <w:rPr>
          <w:b w:val="0"/>
          <w:bCs/>
          <w:sz w:val="22"/>
          <w:szCs w:val="22"/>
        </w:rPr>
        <w:t xml:space="preserve">After </w:t>
      </w:r>
      <w:r w:rsidR="005222CD">
        <w:rPr>
          <w:b w:val="0"/>
          <w:bCs/>
          <w:sz w:val="22"/>
          <w:szCs w:val="22"/>
        </w:rPr>
        <w:t xml:space="preserve">completing </w:t>
      </w:r>
      <w:r>
        <w:rPr>
          <w:b w:val="0"/>
          <w:bCs/>
          <w:sz w:val="22"/>
          <w:szCs w:val="22"/>
        </w:rPr>
        <w:t>Index Swaps</w:t>
      </w:r>
      <w:r w:rsidR="00CB4A5E">
        <w:rPr>
          <w:b w:val="0"/>
          <w:bCs/>
          <w:sz w:val="22"/>
          <w:szCs w:val="22"/>
        </w:rPr>
        <w:t>,</w:t>
      </w:r>
      <w:r>
        <w:rPr>
          <w:b w:val="0"/>
          <w:bCs/>
          <w:sz w:val="22"/>
          <w:szCs w:val="22"/>
        </w:rPr>
        <w:t xml:space="preserve"> we discuss</w:t>
      </w:r>
      <w:r w:rsidRPr="0000159C">
        <w:rPr>
          <w:b w:val="0"/>
          <w:bCs/>
          <w:sz w:val="22"/>
          <w:szCs w:val="22"/>
        </w:rPr>
        <w:t xml:space="preserve"> Equity Finance which is the business of lending money to investors and facilitating short sales, and describe how swaps on individual stock</w:t>
      </w:r>
      <w:r>
        <w:rPr>
          <w:b w:val="0"/>
          <w:bCs/>
          <w:sz w:val="22"/>
          <w:szCs w:val="22"/>
        </w:rPr>
        <w:t>s are employed in that business</w:t>
      </w:r>
      <w:r w:rsidR="00381E37">
        <w:rPr>
          <w:b w:val="0"/>
          <w:sz w:val="22"/>
          <w:szCs w:val="22"/>
        </w:rPr>
        <w:t>.</w:t>
      </w:r>
    </w:p>
    <w:p w:rsidR="009B1015" w:rsidRDefault="009B1015" w:rsidP="009B1015">
      <w:pPr>
        <w:pStyle w:val="BodyText2"/>
        <w:ind w:left="450" w:right="720" w:firstLine="0"/>
        <w:rPr>
          <w:sz w:val="22"/>
          <w:szCs w:val="22"/>
        </w:rPr>
      </w:pPr>
      <w:r w:rsidRPr="0000159C">
        <w:rPr>
          <w:sz w:val="22"/>
          <w:szCs w:val="22"/>
        </w:rPr>
        <w:t>Readings:</w:t>
      </w:r>
    </w:p>
    <w:p w:rsidR="00EA4BE3" w:rsidRDefault="00EA4BE3" w:rsidP="00122916">
      <w:pPr>
        <w:pStyle w:val="Header"/>
        <w:numPr>
          <w:ilvl w:val="0"/>
          <w:numId w:val="9"/>
        </w:numPr>
        <w:tabs>
          <w:tab w:val="clear" w:pos="2880"/>
          <w:tab w:val="clear" w:pos="4680"/>
          <w:tab w:val="clear" w:pos="9360"/>
          <w:tab w:val="left" w:pos="2100"/>
        </w:tabs>
        <w:overflowPunct w:val="0"/>
        <w:autoSpaceDE w:val="0"/>
        <w:autoSpaceDN w:val="0"/>
        <w:adjustRightInd w:val="0"/>
        <w:ind w:left="1080"/>
        <w:textAlignment w:val="baseline"/>
        <w:rPr>
          <w:rFonts w:ascii="Comic Sans MS" w:hAnsi="Comic Sans MS" w:cs="Comic Sans MS"/>
        </w:rPr>
      </w:pPr>
      <w:r w:rsidRPr="0000159C">
        <w:rPr>
          <w:rFonts w:ascii="Comic Sans MS" w:hAnsi="Comic Sans MS" w:cs="Comic Sans MS"/>
        </w:rPr>
        <w:t>Mechanics of the Equity Lending Market</w:t>
      </w:r>
      <w:r>
        <w:rPr>
          <w:rFonts w:ascii="Comic Sans MS" w:hAnsi="Comic Sans MS" w:cs="Comic Sans MS"/>
        </w:rPr>
        <w:t xml:space="preserve"> (PDF)</w:t>
      </w:r>
    </w:p>
    <w:p w:rsidR="00EA4BE3" w:rsidRDefault="00EA4BE3" w:rsidP="00122916">
      <w:pPr>
        <w:pStyle w:val="Header"/>
        <w:numPr>
          <w:ilvl w:val="0"/>
          <w:numId w:val="9"/>
        </w:numPr>
        <w:tabs>
          <w:tab w:val="clear" w:pos="2880"/>
          <w:tab w:val="clear" w:pos="4680"/>
          <w:tab w:val="clear" w:pos="9360"/>
          <w:tab w:val="left" w:pos="2100"/>
        </w:tabs>
        <w:overflowPunct w:val="0"/>
        <w:autoSpaceDE w:val="0"/>
        <w:autoSpaceDN w:val="0"/>
        <w:adjustRightInd w:val="0"/>
        <w:ind w:left="1080"/>
        <w:textAlignment w:val="baseline"/>
        <w:rPr>
          <w:rFonts w:ascii="Comic Sans MS" w:hAnsi="Comic Sans MS" w:cs="Comic Sans MS"/>
        </w:rPr>
      </w:pPr>
      <w:r>
        <w:rPr>
          <w:rFonts w:ascii="Comic Sans MS" w:hAnsi="Comic Sans MS" w:cs="Comic Sans MS"/>
        </w:rPr>
        <w:lastRenderedPageBreak/>
        <w:t>Chapter 1, pp. 10-14, Chapter 4, pp. 81-83</w:t>
      </w:r>
    </w:p>
    <w:p w:rsidR="004F1E26" w:rsidRPr="00EA4BE3" w:rsidRDefault="00EA4BE3" w:rsidP="00122916">
      <w:pPr>
        <w:pStyle w:val="Header"/>
        <w:numPr>
          <w:ilvl w:val="0"/>
          <w:numId w:val="9"/>
        </w:numPr>
        <w:tabs>
          <w:tab w:val="clear" w:pos="2880"/>
          <w:tab w:val="clear" w:pos="4680"/>
          <w:tab w:val="clear" w:pos="9360"/>
          <w:tab w:val="left" w:pos="2100"/>
        </w:tabs>
        <w:overflowPunct w:val="0"/>
        <w:autoSpaceDE w:val="0"/>
        <w:autoSpaceDN w:val="0"/>
        <w:adjustRightInd w:val="0"/>
        <w:ind w:left="1080"/>
        <w:textAlignment w:val="baseline"/>
        <w:rPr>
          <w:rFonts w:ascii="Comic Sans MS" w:hAnsi="Comic Sans MS" w:cs="Comic Sans MS"/>
        </w:rPr>
      </w:pPr>
      <w:r>
        <w:rPr>
          <w:rFonts w:ascii="Comic Sans MS" w:hAnsi="Comic Sans MS" w:cs="Comic Sans MS"/>
        </w:rPr>
        <w:t xml:space="preserve">Chapter 10, </w:t>
      </w:r>
      <w:r w:rsidR="006C4BA2">
        <w:rPr>
          <w:rFonts w:ascii="Comic Sans MS" w:hAnsi="Comic Sans MS" w:cs="Comic Sans MS"/>
        </w:rPr>
        <w:t>p</w:t>
      </w:r>
      <w:r>
        <w:rPr>
          <w:rFonts w:ascii="Comic Sans MS" w:hAnsi="Comic Sans MS" w:cs="Comic Sans MS"/>
        </w:rPr>
        <w:t>p. 287-292</w:t>
      </w:r>
      <w:r>
        <w:rPr>
          <w:rFonts w:ascii="Comic Sans MS" w:hAnsi="Comic Sans MS" w:cs="Comic Sans MS"/>
        </w:rPr>
        <w:br/>
      </w:r>
    </w:p>
    <w:p w:rsidR="00913360" w:rsidRPr="0000159C" w:rsidRDefault="00381E37" w:rsidP="00936239">
      <w:pPr>
        <w:tabs>
          <w:tab w:val="left" w:pos="450"/>
        </w:tabs>
        <w:spacing w:after="120"/>
        <w:rPr>
          <w:rFonts w:ascii="Comic Sans MS" w:hAnsi="Comic Sans MS"/>
          <w:color w:val="000000"/>
        </w:rPr>
      </w:pPr>
      <w:r>
        <w:rPr>
          <w:rFonts w:ascii="Comic Sans MS" w:hAnsi="Comic Sans MS"/>
          <w:color w:val="000000"/>
        </w:rPr>
        <w:t>6</w:t>
      </w:r>
      <w:r w:rsidR="00936239" w:rsidRPr="0000159C">
        <w:rPr>
          <w:rFonts w:ascii="Comic Sans MS" w:hAnsi="Comic Sans MS"/>
          <w:color w:val="000000"/>
        </w:rPr>
        <w:t>.</w:t>
      </w:r>
      <w:r w:rsidR="00936239" w:rsidRPr="0000159C">
        <w:rPr>
          <w:rFonts w:ascii="Comic Sans MS" w:hAnsi="Comic Sans MS"/>
          <w:color w:val="000000"/>
        </w:rPr>
        <w:tab/>
      </w:r>
      <w:r w:rsidR="0000159C" w:rsidRPr="0000159C">
        <w:rPr>
          <w:rFonts w:ascii="Comic Sans MS" w:hAnsi="Comic Sans MS"/>
          <w:color w:val="000000"/>
        </w:rPr>
        <w:t>Introduc</w:t>
      </w:r>
      <w:r w:rsidR="0083277E">
        <w:rPr>
          <w:rFonts w:ascii="Comic Sans MS" w:hAnsi="Comic Sans MS"/>
          <w:color w:val="000000"/>
        </w:rPr>
        <w:t xml:space="preserve">tion to </w:t>
      </w:r>
      <w:r w:rsidR="009B1015">
        <w:rPr>
          <w:rFonts w:ascii="Comic Sans MS" w:hAnsi="Comic Sans MS"/>
          <w:color w:val="000000"/>
        </w:rPr>
        <w:t>the Options Market</w:t>
      </w:r>
      <w:r w:rsidR="0083277E">
        <w:rPr>
          <w:rFonts w:ascii="Comic Sans MS" w:hAnsi="Comic Sans MS"/>
          <w:color w:val="000000"/>
        </w:rPr>
        <w:t xml:space="preserve"> </w:t>
      </w:r>
      <w:r>
        <w:rPr>
          <w:rFonts w:ascii="Comic Sans MS" w:hAnsi="Comic Sans MS"/>
          <w:color w:val="000000"/>
        </w:rPr>
        <w:t>(</w:t>
      </w:r>
      <w:r w:rsidR="009159E2">
        <w:rPr>
          <w:rFonts w:ascii="Comic Sans MS" w:hAnsi="Comic Sans MS"/>
          <w:color w:val="000000"/>
        </w:rPr>
        <w:t>0</w:t>
      </w:r>
      <w:r w:rsidR="009159E2" w:rsidRPr="0000159C">
        <w:rPr>
          <w:rFonts w:ascii="Comic Sans MS" w:hAnsi="Comic Sans MS"/>
          <w:color w:val="000000"/>
        </w:rPr>
        <w:t>2/</w:t>
      </w:r>
      <w:r w:rsidR="009159E2">
        <w:rPr>
          <w:rFonts w:ascii="Comic Sans MS" w:hAnsi="Comic Sans MS"/>
          <w:color w:val="000000"/>
        </w:rPr>
        <w:t>0</w:t>
      </w:r>
      <w:r w:rsidR="00B538BC">
        <w:rPr>
          <w:rFonts w:ascii="Comic Sans MS" w:hAnsi="Comic Sans MS"/>
          <w:color w:val="000000"/>
        </w:rPr>
        <w:t>7</w:t>
      </w:r>
      <w:r>
        <w:rPr>
          <w:rFonts w:ascii="Comic Sans MS" w:hAnsi="Comic Sans MS"/>
          <w:color w:val="000000"/>
        </w:rPr>
        <w:t>)</w:t>
      </w:r>
    </w:p>
    <w:p w:rsidR="0000159C" w:rsidRPr="0000159C" w:rsidRDefault="001D00BD" w:rsidP="0000159C">
      <w:pPr>
        <w:pStyle w:val="Subtitle"/>
        <w:spacing w:after="120"/>
        <w:ind w:left="450" w:right="720"/>
        <w:rPr>
          <w:b w:val="0"/>
          <w:sz w:val="22"/>
          <w:szCs w:val="22"/>
        </w:rPr>
      </w:pPr>
      <w:r>
        <w:rPr>
          <w:b w:val="0"/>
          <w:sz w:val="22"/>
          <w:szCs w:val="22"/>
        </w:rPr>
        <w:t xml:space="preserve">With Delta </w:t>
      </w:r>
      <w:r w:rsidR="00930D0C">
        <w:rPr>
          <w:b w:val="0"/>
          <w:sz w:val="22"/>
          <w:szCs w:val="22"/>
        </w:rPr>
        <w:t xml:space="preserve">1 </w:t>
      </w:r>
      <w:r>
        <w:rPr>
          <w:b w:val="0"/>
          <w:sz w:val="22"/>
          <w:szCs w:val="22"/>
        </w:rPr>
        <w:t>products completed, we move to Equity Options</w:t>
      </w:r>
      <w:r w:rsidR="0000159C" w:rsidRPr="0000159C">
        <w:rPr>
          <w:b w:val="0"/>
          <w:sz w:val="22"/>
          <w:szCs w:val="22"/>
        </w:rPr>
        <w:t>.  We start with a discussion on how the market operates and liquidity is provided using the ISE case study as background.  Please read the case and be prepared to discuss it.</w:t>
      </w:r>
    </w:p>
    <w:p w:rsidR="0000159C" w:rsidRPr="0000159C" w:rsidRDefault="0000159C" w:rsidP="0000159C">
      <w:pPr>
        <w:pStyle w:val="BodyText2"/>
        <w:ind w:left="446" w:right="720" w:firstLine="0"/>
        <w:rPr>
          <w:sz w:val="22"/>
          <w:szCs w:val="22"/>
        </w:rPr>
      </w:pPr>
      <w:r w:rsidRPr="0000159C">
        <w:rPr>
          <w:sz w:val="22"/>
          <w:szCs w:val="22"/>
        </w:rPr>
        <w:t>Readings:</w:t>
      </w:r>
    </w:p>
    <w:p w:rsidR="006C4BA2" w:rsidRPr="0000159C" w:rsidRDefault="006C4BA2" w:rsidP="006C4BA2">
      <w:pPr>
        <w:pStyle w:val="Header"/>
        <w:numPr>
          <w:ilvl w:val="0"/>
          <w:numId w:val="9"/>
        </w:numPr>
        <w:tabs>
          <w:tab w:val="clear" w:pos="2880"/>
          <w:tab w:val="clear" w:pos="4680"/>
          <w:tab w:val="clear" w:pos="9360"/>
          <w:tab w:val="left" w:pos="2100"/>
        </w:tabs>
        <w:overflowPunct w:val="0"/>
        <w:autoSpaceDE w:val="0"/>
        <w:autoSpaceDN w:val="0"/>
        <w:adjustRightInd w:val="0"/>
        <w:ind w:left="1080"/>
        <w:textAlignment w:val="baseline"/>
        <w:rPr>
          <w:rFonts w:ascii="Comic Sans MS" w:hAnsi="Comic Sans MS" w:cs="Comic Sans MS"/>
        </w:rPr>
      </w:pPr>
      <w:r>
        <w:rPr>
          <w:rFonts w:ascii="Comic Sans MS" w:hAnsi="Comic Sans MS" w:cs="Comic Sans MS"/>
        </w:rPr>
        <w:t>Chapter 1</w:t>
      </w:r>
      <w:r w:rsidR="00EA4BE3">
        <w:rPr>
          <w:rFonts w:ascii="Comic Sans MS" w:hAnsi="Comic Sans MS" w:cs="Comic Sans MS"/>
        </w:rPr>
        <w:t>, pp. 20-23</w:t>
      </w:r>
    </w:p>
    <w:p w:rsidR="0000159C" w:rsidRPr="0000159C" w:rsidRDefault="00B11C6D" w:rsidP="0000159C">
      <w:pPr>
        <w:pStyle w:val="Header"/>
        <w:numPr>
          <w:ilvl w:val="0"/>
          <w:numId w:val="9"/>
        </w:numPr>
        <w:tabs>
          <w:tab w:val="clear" w:pos="2880"/>
          <w:tab w:val="clear" w:pos="4680"/>
          <w:tab w:val="clear" w:pos="9360"/>
          <w:tab w:val="left" w:pos="2100"/>
        </w:tabs>
        <w:overflowPunct w:val="0"/>
        <w:autoSpaceDE w:val="0"/>
        <w:autoSpaceDN w:val="0"/>
        <w:adjustRightInd w:val="0"/>
        <w:spacing w:after="120"/>
        <w:ind w:left="1080"/>
        <w:textAlignment w:val="baseline"/>
        <w:rPr>
          <w:rFonts w:ascii="Comic Sans MS" w:hAnsi="Comic Sans MS" w:cs="Comic Sans MS"/>
        </w:rPr>
      </w:pPr>
      <w:hyperlink r:id="rId12" w:history="1">
        <w:r w:rsidR="0000159C" w:rsidRPr="00C81AA5">
          <w:rPr>
            <w:rStyle w:val="Hyperlink"/>
            <w:rFonts w:ascii="Comic Sans MS" w:hAnsi="Comic Sans MS" w:cs="Comic Sans MS"/>
          </w:rPr>
          <w:t>The International Securities Exchange: New Ground in Options Markets</w:t>
        </w:r>
      </w:hyperlink>
      <w:r w:rsidR="00601A77">
        <w:rPr>
          <w:rFonts w:ascii="Comic Sans MS" w:hAnsi="Comic Sans MS" w:cs="Comic Sans MS"/>
        </w:rPr>
        <w:t xml:space="preserve"> (</w:t>
      </w:r>
      <w:hyperlink r:id="rId13" w:history="1">
        <w:r w:rsidR="00327446">
          <w:rPr>
            <w:rStyle w:val="Hyperlink"/>
          </w:rPr>
          <w:t>https://cb.hbsp.harvard.edu/cbmp/pl/73939248/73939250/5f4421bc8caa37f1fdb286f4b5ec94c6</w:t>
        </w:r>
      </w:hyperlink>
      <w:r w:rsidR="00601A77" w:rsidRPr="00601A77">
        <w:rPr>
          <w:rFonts w:ascii="Comic Sans MS" w:hAnsi="Comic Sans MS"/>
          <w:szCs w:val="18"/>
        </w:rPr>
        <w:t>)</w:t>
      </w:r>
    </w:p>
    <w:p w:rsidR="0000159C" w:rsidRPr="0000159C" w:rsidRDefault="0000159C" w:rsidP="00012144">
      <w:pPr>
        <w:tabs>
          <w:tab w:val="left" w:pos="2070"/>
        </w:tabs>
        <w:spacing w:after="0" w:line="240" w:lineRule="auto"/>
        <w:ind w:left="450"/>
        <w:rPr>
          <w:rFonts w:ascii="Comic Sans MS" w:hAnsi="Comic Sans MS"/>
        </w:rPr>
      </w:pPr>
      <w:r w:rsidRPr="0000159C">
        <w:rPr>
          <w:rFonts w:ascii="Comic Sans MS" w:hAnsi="Comic Sans MS"/>
        </w:rPr>
        <w:t>Assignments:</w:t>
      </w:r>
    </w:p>
    <w:p w:rsidR="00012144" w:rsidRPr="00122916" w:rsidRDefault="00012144" w:rsidP="00122916">
      <w:pPr>
        <w:pStyle w:val="Header"/>
        <w:numPr>
          <w:ilvl w:val="0"/>
          <w:numId w:val="9"/>
        </w:numPr>
        <w:tabs>
          <w:tab w:val="clear" w:pos="2880"/>
          <w:tab w:val="clear" w:pos="4680"/>
          <w:tab w:val="clear" w:pos="9360"/>
          <w:tab w:val="left" w:pos="2100"/>
        </w:tabs>
        <w:overflowPunct w:val="0"/>
        <w:autoSpaceDE w:val="0"/>
        <w:autoSpaceDN w:val="0"/>
        <w:adjustRightInd w:val="0"/>
        <w:ind w:left="1080"/>
        <w:textAlignment w:val="baseline"/>
        <w:rPr>
          <w:rFonts w:ascii="Comic Sans MS" w:hAnsi="Comic Sans MS" w:cs="Comic Sans MS"/>
        </w:rPr>
      </w:pPr>
      <w:r w:rsidRPr="00122916">
        <w:rPr>
          <w:rFonts w:ascii="Comic Sans MS" w:hAnsi="Comic Sans MS" w:cs="Comic Sans MS"/>
        </w:rPr>
        <w:t>Assignment (1) – ISE Questions</w:t>
      </w:r>
      <w:r w:rsidR="008D2DBC" w:rsidRPr="00122916">
        <w:rPr>
          <w:rFonts w:ascii="Comic Sans MS" w:hAnsi="Comic Sans MS" w:cs="Comic Sans MS"/>
        </w:rPr>
        <w:t xml:space="preserve">/Comparing the use of ETFs, Futures and Swaps </w:t>
      </w:r>
      <w:r w:rsidRPr="00122916">
        <w:rPr>
          <w:rFonts w:ascii="Comic Sans MS" w:hAnsi="Comic Sans MS" w:cs="Comic Sans MS"/>
        </w:rPr>
        <w:t>(</w:t>
      </w:r>
      <w:r w:rsidR="006675CF" w:rsidRPr="00122916">
        <w:rPr>
          <w:rFonts w:ascii="Comic Sans MS" w:hAnsi="Comic Sans MS" w:cs="Comic Sans MS"/>
        </w:rPr>
        <w:t>Type A</w:t>
      </w:r>
      <w:r w:rsidRPr="00122916">
        <w:rPr>
          <w:rFonts w:ascii="Comic Sans MS" w:hAnsi="Comic Sans MS" w:cs="Comic Sans MS"/>
        </w:rPr>
        <w:t>)</w:t>
      </w:r>
      <w:r w:rsidR="008E15F7">
        <w:rPr>
          <w:rFonts w:ascii="Comic Sans MS" w:hAnsi="Comic Sans MS" w:cs="Comic Sans MS"/>
        </w:rPr>
        <w:br/>
      </w:r>
    </w:p>
    <w:p w:rsidR="00155D35" w:rsidRPr="0000159C" w:rsidRDefault="00381E37" w:rsidP="002C5A21">
      <w:pPr>
        <w:pStyle w:val="BodyText2"/>
        <w:tabs>
          <w:tab w:val="left" w:pos="450"/>
        </w:tabs>
        <w:spacing w:after="120"/>
        <w:ind w:left="0" w:firstLine="0"/>
        <w:rPr>
          <w:sz w:val="22"/>
          <w:szCs w:val="22"/>
        </w:rPr>
      </w:pPr>
      <w:r>
        <w:rPr>
          <w:sz w:val="22"/>
          <w:szCs w:val="22"/>
        </w:rPr>
        <w:t>7</w:t>
      </w:r>
      <w:r w:rsidR="00000BF4">
        <w:rPr>
          <w:sz w:val="22"/>
          <w:szCs w:val="22"/>
        </w:rPr>
        <w:t xml:space="preserve"> &amp; </w:t>
      </w:r>
      <w:r>
        <w:rPr>
          <w:sz w:val="22"/>
          <w:szCs w:val="22"/>
        </w:rPr>
        <w:t>8</w:t>
      </w:r>
      <w:r w:rsidR="00155D35" w:rsidRPr="0000159C">
        <w:rPr>
          <w:sz w:val="22"/>
          <w:szCs w:val="22"/>
        </w:rPr>
        <w:t>.</w:t>
      </w:r>
      <w:r w:rsidR="00155D35" w:rsidRPr="0000159C">
        <w:rPr>
          <w:sz w:val="22"/>
          <w:szCs w:val="22"/>
        </w:rPr>
        <w:tab/>
      </w:r>
      <w:r w:rsidR="003B23F9" w:rsidRPr="003B23F9">
        <w:rPr>
          <w:rFonts w:eastAsiaTheme="minorHAnsi" w:cstheme="minorBidi"/>
          <w:sz w:val="22"/>
          <w:szCs w:val="22"/>
        </w:rPr>
        <w:t>Options Valuation</w:t>
      </w:r>
      <w:r w:rsidR="0083277E">
        <w:rPr>
          <w:rFonts w:eastAsiaTheme="minorHAnsi" w:cstheme="minorBidi"/>
          <w:sz w:val="22"/>
          <w:szCs w:val="22"/>
        </w:rPr>
        <w:t xml:space="preserve"> </w:t>
      </w:r>
      <w:r w:rsidR="00155D35" w:rsidRPr="0000159C">
        <w:rPr>
          <w:sz w:val="22"/>
          <w:szCs w:val="22"/>
        </w:rPr>
        <w:t>(</w:t>
      </w:r>
      <w:r w:rsidR="00B538BC">
        <w:rPr>
          <w:sz w:val="22"/>
          <w:szCs w:val="22"/>
        </w:rPr>
        <w:t>02/12</w:t>
      </w:r>
      <w:r w:rsidR="009159E2">
        <w:rPr>
          <w:color w:val="000000"/>
        </w:rPr>
        <w:t xml:space="preserve"> &amp; </w:t>
      </w:r>
      <w:r w:rsidR="00786AA5">
        <w:rPr>
          <w:sz w:val="22"/>
          <w:szCs w:val="22"/>
        </w:rPr>
        <w:t>0</w:t>
      </w:r>
      <w:r w:rsidR="00155D35" w:rsidRPr="0000159C">
        <w:rPr>
          <w:sz w:val="22"/>
          <w:szCs w:val="22"/>
        </w:rPr>
        <w:t>2/</w:t>
      </w:r>
      <w:r w:rsidR="000A384C" w:rsidRPr="0000159C">
        <w:rPr>
          <w:sz w:val="22"/>
          <w:szCs w:val="22"/>
        </w:rPr>
        <w:t>1</w:t>
      </w:r>
      <w:r w:rsidR="00B538BC">
        <w:rPr>
          <w:sz w:val="22"/>
          <w:szCs w:val="22"/>
        </w:rPr>
        <w:t>4</w:t>
      </w:r>
      <w:r w:rsidR="00155D35" w:rsidRPr="0000159C">
        <w:rPr>
          <w:sz w:val="22"/>
          <w:szCs w:val="22"/>
        </w:rPr>
        <w:t>)</w:t>
      </w:r>
    </w:p>
    <w:p w:rsidR="003B23F9" w:rsidRPr="0000159C" w:rsidRDefault="003B23F9" w:rsidP="003B23F9">
      <w:pPr>
        <w:tabs>
          <w:tab w:val="left" w:pos="720"/>
          <w:tab w:val="left" w:pos="1440"/>
          <w:tab w:val="left" w:pos="2160"/>
          <w:tab w:val="right" w:pos="9000"/>
        </w:tabs>
        <w:spacing w:after="120" w:line="240" w:lineRule="auto"/>
        <w:ind w:left="360"/>
        <w:rPr>
          <w:rFonts w:ascii="Comic Sans MS" w:hAnsi="Comic Sans MS"/>
          <w:color w:val="000000"/>
        </w:rPr>
      </w:pPr>
      <w:r w:rsidRPr="0000159C">
        <w:rPr>
          <w:rFonts w:ascii="Comic Sans MS" w:hAnsi="Comic Sans MS"/>
          <w:color w:val="000000"/>
        </w:rPr>
        <w:t>Options Valuation, a topic that can get fairly complex</w:t>
      </w:r>
      <w:r w:rsidR="001D00BD">
        <w:rPr>
          <w:rFonts w:ascii="Comic Sans MS" w:hAnsi="Comic Sans MS"/>
          <w:color w:val="000000"/>
        </w:rPr>
        <w:t>, is where we head next</w:t>
      </w:r>
      <w:r w:rsidRPr="0000159C">
        <w:rPr>
          <w:rFonts w:ascii="Comic Sans MS" w:hAnsi="Comic Sans MS"/>
          <w:color w:val="000000"/>
        </w:rPr>
        <w:t>.</w:t>
      </w:r>
      <w:r w:rsidR="001D00BD">
        <w:rPr>
          <w:rFonts w:ascii="Comic Sans MS" w:hAnsi="Comic Sans MS"/>
          <w:color w:val="000000"/>
        </w:rPr>
        <w:t xml:space="preserve"> </w:t>
      </w:r>
      <w:r w:rsidRPr="0000159C">
        <w:rPr>
          <w:rFonts w:ascii="Comic Sans MS" w:hAnsi="Comic Sans MS"/>
          <w:color w:val="000000"/>
        </w:rPr>
        <w:t xml:space="preserve"> Although options pricing cannot be explained without any formulas, I start by providing intuition on what drives pricing leaving out the higher mathematics.</w:t>
      </w:r>
    </w:p>
    <w:p w:rsidR="003B23F9" w:rsidRPr="0000159C" w:rsidRDefault="003B23F9" w:rsidP="003B23F9">
      <w:pPr>
        <w:tabs>
          <w:tab w:val="left" w:pos="720"/>
          <w:tab w:val="left" w:pos="1440"/>
          <w:tab w:val="left" w:pos="2160"/>
          <w:tab w:val="right" w:pos="9000"/>
        </w:tabs>
        <w:spacing w:after="120" w:line="240" w:lineRule="auto"/>
        <w:ind w:left="360"/>
        <w:rPr>
          <w:rFonts w:ascii="Comic Sans MS" w:hAnsi="Comic Sans MS"/>
          <w:color w:val="000000"/>
        </w:rPr>
      </w:pPr>
      <w:r w:rsidRPr="0000159C">
        <w:rPr>
          <w:rFonts w:ascii="Comic Sans MS" w:hAnsi="Comic Sans MS"/>
          <w:color w:val="000000"/>
        </w:rPr>
        <w:t>After teaching you how to price options using a spreadsheet, we then review the commonly used Options Models like the Binomial and Black-Scholes Models.</w:t>
      </w:r>
    </w:p>
    <w:p w:rsidR="003B23F9" w:rsidRPr="0000159C" w:rsidRDefault="003B23F9" w:rsidP="003B23F9">
      <w:pPr>
        <w:tabs>
          <w:tab w:val="left" w:pos="720"/>
          <w:tab w:val="left" w:pos="1440"/>
          <w:tab w:val="left" w:pos="2160"/>
          <w:tab w:val="right" w:pos="9000"/>
        </w:tabs>
        <w:spacing w:after="0" w:line="240" w:lineRule="auto"/>
        <w:ind w:left="360"/>
        <w:rPr>
          <w:rFonts w:ascii="Comic Sans MS" w:hAnsi="Comic Sans MS"/>
          <w:color w:val="000000"/>
        </w:rPr>
      </w:pPr>
      <w:r w:rsidRPr="0000159C">
        <w:rPr>
          <w:rFonts w:ascii="Comic Sans MS" w:hAnsi="Comic Sans MS"/>
          <w:color w:val="000000"/>
        </w:rPr>
        <w:t>Readings:</w:t>
      </w:r>
    </w:p>
    <w:p w:rsidR="006C4BA2" w:rsidRPr="00122916" w:rsidRDefault="006C4BA2" w:rsidP="00122916">
      <w:pPr>
        <w:pStyle w:val="Header"/>
        <w:numPr>
          <w:ilvl w:val="0"/>
          <w:numId w:val="9"/>
        </w:numPr>
        <w:tabs>
          <w:tab w:val="clear" w:pos="2880"/>
          <w:tab w:val="clear" w:pos="4680"/>
          <w:tab w:val="clear" w:pos="9360"/>
          <w:tab w:val="left" w:pos="2100"/>
        </w:tabs>
        <w:overflowPunct w:val="0"/>
        <w:autoSpaceDE w:val="0"/>
        <w:autoSpaceDN w:val="0"/>
        <w:adjustRightInd w:val="0"/>
        <w:ind w:left="1080"/>
        <w:textAlignment w:val="baseline"/>
        <w:rPr>
          <w:rFonts w:ascii="Comic Sans MS" w:hAnsi="Comic Sans MS" w:cs="Comic Sans MS"/>
        </w:rPr>
      </w:pPr>
      <w:r w:rsidRPr="00122916">
        <w:rPr>
          <w:rFonts w:ascii="Comic Sans MS" w:hAnsi="Comic Sans MS" w:cs="Comic Sans MS"/>
        </w:rPr>
        <w:t>Chapter 6</w:t>
      </w:r>
      <w:r w:rsidR="00EA4BE3" w:rsidRPr="00122916">
        <w:rPr>
          <w:rFonts w:ascii="Comic Sans MS" w:hAnsi="Comic Sans MS" w:cs="Comic Sans MS"/>
        </w:rPr>
        <w:t>, pp. 139-143</w:t>
      </w:r>
    </w:p>
    <w:p w:rsidR="003B23F9" w:rsidRPr="00122916" w:rsidRDefault="003B23F9" w:rsidP="00122916">
      <w:pPr>
        <w:pStyle w:val="Header"/>
        <w:numPr>
          <w:ilvl w:val="0"/>
          <w:numId w:val="9"/>
        </w:numPr>
        <w:tabs>
          <w:tab w:val="clear" w:pos="2880"/>
          <w:tab w:val="clear" w:pos="4680"/>
          <w:tab w:val="clear" w:pos="9360"/>
          <w:tab w:val="left" w:pos="2100"/>
        </w:tabs>
        <w:overflowPunct w:val="0"/>
        <w:autoSpaceDE w:val="0"/>
        <w:autoSpaceDN w:val="0"/>
        <w:adjustRightInd w:val="0"/>
        <w:ind w:left="1080"/>
        <w:textAlignment w:val="baseline"/>
        <w:rPr>
          <w:rFonts w:ascii="Comic Sans MS" w:hAnsi="Comic Sans MS" w:cs="Comic Sans MS"/>
        </w:rPr>
      </w:pPr>
      <w:r w:rsidRPr="00122916">
        <w:rPr>
          <w:rFonts w:ascii="Comic Sans MS" w:hAnsi="Comic Sans MS" w:cs="Comic Sans MS"/>
        </w:rPr>
        <w:t>Introduction to Binomial Trees</w:t>
      </w:r>
      <w:r w:rsidR="00CB602D" w:rsidRPr="00122916">
        <w:rPr>
          <w:rFonts w:ascii="Comic Sans MS" w:hAnsi="Comic Sans MS" w:cs="Comic Sans MS"/>
        </w:rPr>
        <w:t xml:space="preserve"> </w:t>
      </w:r>
      <w:r w:rsidR="00A2156E" w:rsidRPr="00122916">
        <w:rPr>
          <w:rFonts w:ascii="Comic Sans MS" w:hAnsi="Comic Sans MS" w:cs="Comic Sans MS"/>
        </w:rPr>
        <w:t>- PDF</w:t>
      </w:r>
    </w:p>
    <w:p w:rsidR="003B23F9" w:rsidRPr="00122916" w:rsidRDefault="009F5541" w:rsidP="00122916">
      <w:pPr>
        <w:pStyle w:val="Header"/>
        <w:numPr>
          <w:ilvl w:val="0"/>
          <w:numId w:val="9"/>
        </w:numPr>
        <w:tabs>
          <w:tab w:val="clear" w:pos="2880"/>
          <w:tab w:val="clear" w:pos="4680"/>
          <w:tab w:val="clear" w:pos="9360"/>
          <w:tab w:val="left" w:pos="2100"/>
        </w:tabs>
        <w:overflowPunct w:val="0"/>
        <w:autoSpaceDE w:val="0"/>
        <w:autoSpaceDN w:val="0"/>
        <w:adjustRightInd w:val="0"/>
        <w:ind w:left="1080"/>
        <w:textAlignment w:val="baseline"/>
        <w:rPr>
          <w:rFonts w:ascii="Comic Sans MS" w:hAnsi="Comic Sans MS" w:cs="Comic Sans MS"/>
        </w:rPr>
      </w:pPr>
      <w:r>
        <w:rPr>
          <w:rFonts w:ascii="Comic Sans MS" w:hAnsi="Comic Sans MS" w:cs="Comic Sans MS"/>
        </w:rPr>
        <w:t xml:space="preserve">Valuing Stock Options: </w:t>
      </w:r>
      <w:r w:rsidR="003B23F9" w:rsidRPr="00122916">
        <w:rPr>
          <w:rFonts w:ascii="Comic Sans MS" w:hAnsi="Comic Sans MS" w:cs="Comic Sans MS"/>
        </w:rPr>
        <w:t>The Black-Scholes Model</w:t>
      </w:r>
      <w:r w:rsidR="00CB602D" w:rsidRPr="00122916">
        <w:rPr>
          <w:rFonts w:ascii="Comic Sans MS" w:hAnsi="Comic Sans MS" w:cs="Comic Sans MS"/>
        </w:rPr>
        <w:t xml:space="preserve"> </w:t>
      </w:r>
      <w:r w:rsidR="00A2156E" w:rsidRPr="00122916">
        <w:rPr>
          <w:rFonts w:ascii="Comic Sans MS" w:hAnsi="Comic Sans MS" w:cs="Comic Sans MS"/>
        </w:rPr>
        <w:t>- PDF</w:t>
      </w:r>
    </w:p>
    <w:p w:rsidR="002B75A0" w:rsidRPr="0000159C" w:rsidRDefault="00EA4BE3" w:rsidP="002B75A0">
      <w:pPr>
        <w:tabs>
          <w:tab w:val="left" w:pos="450"/>
        </w:tabs>
        <w:spacing w:after="120"/>
        <w:rPr>
          <w:rFonts w:ascii="Comic Sans MS" w:hAnsi="Comic Sans MS" w:cs="Comic Sans MS"/>
        </w:rPr>
      </w:pPr>
      <w:r>
        <w:rPr>
          <w:rFonts w:ascii="Comic Sans MS" w:hAnsi="Comic Sans MS" w:cs="Comic Sans MS"/>
        </w:rPr>
        <w:br/>
      </w:r>
      <w:r w:rsidR="00381E37">
        <w:rPr>
          <w:rFonts w:ascii="Comic Sans MS" w:hAnsi="Comic Sans MS" w:cs="Comic Sans MS"/>
        </w:rPr>
        <w:t>9</w:t>
      </w:r>
      <w:r w:rsidR="002B75A0" w:rsidRPr="0000159C">
        <w:rPr>
          <w:rFonts w:ascii="Comic Sans MS" w:hAnsi="Comic Sans MS" w:cs="Comic Sans MS"/>
        </w:rPr>
        <w:t>.</w:t>
      </w:r>
      <w:r w:rsidR="002B75A0" w:rsidRPr="0000159C">
        <w:rPr>
          <w:rFonts w:ascii="Comic Sans MS" w:hAnsi="Comic Sans MS" w:cs="Comic Sans MS"/>
        </w:rPr>
        <w:tab/>
      </w:r>
      <w:r w:rsidR="002B75A0" w:rsidRPr="0000159C">
        <w:rPr>
          <w:rFonts w:ascii="Comic Sans MS" w:hAnsi="Comic Sans MS"/>
        </w:rPr>
        <w:t xml:space="preserve">Practical Considerations in Pricing </w:t>
      </w:r>
      <w:r w:rsidR="0083277E">
        <w:rPr>
          <w:rFonts w:ascii="Comic Sans MS" w:hAnsi="Comic Sans MS" w:cs="Comic Sans MS"/>
        </w:rPr>
        <w:t xml:space="preserve">Options </w:t>
      </w:r>
      <w:r w:rsidR="002B75A0" w:rsidRPr="0000159C">
        <w:rPr>
          <w:rFonts w:ascii="Comic Sans MS" w:hAnsi="Comic Sans MS" w:cs="Comic Sans MS"/>
        </w:rPr>
        <w:t>(</w:t>
      </w:r>
      <w:r w:rsidR="00B538BC">
        <w:rPr>
          <w:rFonts w:ascii="Comic Sans MS" w:hAnsi="Comic Sans MS" w:cs="Comic Sans MS"/>
        </w:rPr>
        <w:t>02/19</w:t>
      </w:r>
      <w:r w:rsidR="002B75A0" w:rsidRPr="0000159C">
        <w:rPr>
          <w:rFonts w:ascii="Comic Sans MS" w:hAnsi="Comic Sans MS" w:cs="Comic Sans MS"/>
        </w:rPr>
        <w:t>)</w:t>
      </w:r>
    </w:p>
    <w:p w:rsidR="002B75A0" w:rsidRPr="0000159C" w:rsidRDefault="00002371" w:rsidP="002B75A0">
      <w:pPr>
        <w:pStyle w:val="BodyText2"/>
        <w:spacing w:after="120"/>
        <w:ind w:left="450" w:right="720" w:firstLine="0"/>
        <w:rPr>
          <w:sz w:val="22"/>
          <w:szCs w:val="22"/>
        </w:rPr>
      </w:pPr>
      <w:r>
        <w:rPr>
          <w:sz w:val="22"/>
          <w:szCs w:val="22"/>
        </w:rPr>
        <w:t>To move from the theoretical to the practical,</w:t>
      </w:r>
      <w:r w:rsidR="002B75A0" w:rsidRPr="0000159C">
        <w:rPr>
          <w:sz w:val="22"/>
          <w:szCs w:val="22"/>
        </w:rPr>
        <w:t xml:space="preserve"> we start by discussing how the cost of trading stock influences the price of an equity option and why the interest rate used to price a particular option depends on how the trader hedges that option.  We then introduce the volatility relationships that drive Equity Options trading.</w:t>
      </w:r>
    </w:p>
    <w:p w:rsidR="002B75A0" w:rsidRPr="0000159C" w:rsidRDefault="002B75A0" w:rsidP="002B75A0">
      <w:pPr>
        <w:pStyle w:val="BodyText2"/>
        <w:spacing w:after="120"/>
        <w:ind w:left="450" w:right="720" w:firstLine="0"/>
        <w:rPr>
          <w:sz w:val="22"/>
          <w:szCs w:val="22"/>
        </w:rPr>
      </w:pPr>
      <w:r w:rsidRPr="0000159C">
        <w:rPr>
          <w:sz w:val="22"/>
          <w:szCs w:val="22"/>
        </w:rPr>
        <w:t>In the index options market there are historical relationships between implied and historical volatility, implied volatility for options with different strike prices (skew) and terms (term structure), as well as stock versus index options (dispersion).  Relying on historical data, this class discusses those relationships.</w:t>
      </w:r>
    </w:p>
    <w:p w:rsidR="002B75A0" w:rsidRPr="0000159C" w:rsidRDefault="002B75A0" w:rsidP="002B75A0">
      <w:pPr>
        <w:pStyle w:val="BodyText2"/>
        <w:ind w:left="446" w:right="720" w:firstLine="0"/>
        <w:rPr>
          <w:sz w:val="22"/>
          <w:szCs w:val="22"/>
        </w:rPr>
      </w:pPr>
      <w:r w:rsidRPr="0000159C">
        <w:rPr>
          <w:sz w:val="22"/>
          <w:szCs w:val="22"/>
        </w:rPr>
        <w:t>Readings:</w:t>
      </w:r>
    </w:p>
    <w:p w:rsidR="002B75A0" w:rsidRPr="00122916" w:rsidRDefault="006C4BA2" w:rsidP="00122916">
      <w:pPr>
        <w:pStyle w:val="Header"/>
        <w:numPr>
          <w:ilvl w:val="0"/>
          <w:numId w:val="9"/>
        </w:numPr>
        <w:tabs>
          <w:tab w:val="clear" w:pos="2880"/>
          <w:tab w:val="clear" w:pos="4680"/>
          <w:tab w:val="clear" w:pos="9360"/>
          <w:tab w:val="left" w:pos="2100"/>
        </w:tabs>
        <w:overflowPunct w:val="0"/>
        <w:autoSpaceDE w:val="0"/>
        <w:autoSpaceDN w:val="0"/>
        <w:adjustRightInd w:val="0"/>
        <w:ind w:left="1080"/>
        <w:textAlignment w:val="baseline"/>
        <w:rPr>
          <w:rFonts w:ascii="Comic Sans MS" w:hAnsi="Comic Sans MS" w:cs="Comic Sans MS"/>
        </w:rPr>
      </w:pPr>
      <w:r w:rsidRPr="00122916">
        <w:rPr>
          <w:rFonts w:ascii="Comic Sans MS" w:hAnsi="Comic Sans MS" w:cs="Comic Sans MS"/>
        </w:rPr>
        <w:t>Chapter 6</w:t>
      </w:r>
      <w:r w:rsidR="00EA4BE3" w:rsidRPr="00122916">
        <w:rPr>
          <w:rFonts w:ascii="Comic Sans MS" w:hAnsi="Comic Sans MS" w:cs="Comic Sans MS"/>
        </w:rPr>
        <w:t>, p</w:t>
      </w:r>
      <w:r w:rsidRPr="00122916">
        <w:rPr>
          <w:rFonts w:ascii="Comic Sans MS" w:hAnsi="Comic Sans MS" w:cs="Comic Sans MS"/>
        </w:rPr>
        <w:t>p. 146 – 172</w:t>
      </w:r>
      <w:r w:rsidR="00EA4BE3" w:rsidRPr="00122916">
        <w:rPr>
          <w:rFonts w:ascii="Comic Sans MS" w:hAnsi="Comic Sans MS" w:cs="Comic Sans MS"/>
        </w:rPr>
        <w:t>, 190-196</w:t>
      </w:r>
      <w:r w:rsidR="00A24E47">
        <w:rPr>
          <w:rFonts w:ascii="Comic Sans MS" w:hAnsi="Comic Sans MS" w:cs="Comic Sans MS"/>
        </w:rPr>
        <w:br/>
      </w:r>
    </w:p>
    <w:p w:rsidR="00E23852" w:rsidRPr="0000159C" w:rsidRDefault="00E23852" w:rsidP="00E23852">
      <w:pPr>
        <w:tabs>
          <w:tab w:val="left" w:pos="2070"/>
        </w:tabs>
        <w:spacing w:after="0" w:line="240" w:lineRule="auto"/>
        <w:ind w:left="450"/>
        <w:rPr>
          <w:rFonts w:ascii="Comic Sans MS" w:hAnsi="Comic Sans MS"/>
        </w:rPr>
      </w:pPr>
      <w:r w:rsidRPr="0000159C">
        <w:rPr>
          <w:rFonts w:ascii="Comic Sans MS" w:hAnsi="Comic Sans MS"/>
        </w:rPr>
        <w:t>Assignments:</w:t>
      </w:r>
    </w:p>
    <w:p w:rsidR="00E23852" w:rsidRPr="00122916" w:rsidRDefault="00E23852" w:rsidP="00122916">
      <w:pPr>
        <w:pStyle w:val="Header"/>
        <w:numPr>
          <w:ilvl w:val="0"/>
          <w:numId w:val="9"/>
        </w:numPr>
        <w:tabs>
          <w:tab w:val="clear" w:pos="2880"/>
          <w:tab w:val="clear" w:pos="4680"/>
          <w:tab w:val="clear" w:pos="9360"/>
          <w:tab w:val="left" w:pos="2100"/>
        </w:tabs>
        <w:overflowPunct w:val="0"/>
        <w:autoSpaceDE w:val="0"/>
        <w:autoSpaceDN w:val="0"/>
        <w:adjustRightInd w:val="0"/>
        <w:ind w:left="1080"/>
        <w:textAlignment w:val="baseline"/>
        <w:rPr>
          <w:rFonts w:ascii="Comic Sans MS" w:hAnsi="Comic Sans MS" w:cs="Comic Sans MS"/>
        </w:rPr>
      </w:pPr>
      <w:r w:rsidRPr="00122916">
        <w:rPr>
          <w:rFonts w:ascii="Comic Sans MS" w:hAnsi="Comic Sans MS" w:cs="Comic Sans MS"/>
        </w:rPr>
        <w:lastRenderedPageBreak/>
        <w:t>Assignment (</w:t>
      </w:r>
      <w:r w:rsidR="008D2DBC" w:rsidRPr="00122916">
        <w:rPr>
          <w:rFonts w:ascii="Comic Sans MS" w:hAnsi="Comic Sans MS" w:cs="Comic Sans MS"/>
        </w:rPr>
        <w:t>2</w:t>
      </w:r>
      <w:r w:rsidRPr="00122916">
        <w:rPr>
          <w:rFonts w:ascii="Comic Sans MS" w:hAnsi="Comic Sans MS" w:cs="Comic Sans MS"/>
        </w:rPr>
        <w:t>) – Options Valuation (Type B)</w:t>
      </w:r>
      <w:r w:rsidR="00A24E47">
        <w:rPr>
          <w:rFonts w:ascii="Comic Sans MS" w:hAnsi="Comic Sans MS" w:cs="Comic Sans MS"/>
        </w:rPr>
        <w:br/>
      </w:r>
    </w:p>
    <w:p w:rsidR="001A3AD1" w:rsidRPr="0000159C" w:rsidRDefault="00E23852" w:rsidP="001A3AD1">
      <w:pPr>
        <w:tabs>
          <w:tab w:val="left" w:pos="450"/>
        </w:tabs>
        <w:spacing w:after="120"/>
        <w:rPr>
          <w:rFonts w:ascii="Comic Sans MS" w:hAnsi="Comic Sans MS" w:cs="Comic Sans MS"/>
        </w:rPr>
      </w:pPr>
      <w:r>
        <w:rPr>
          <w:rFonts w:ascii="Comic Sans MS" w:hAnsi="Comic Sans MS" w:cs="Comic Sans MS"/>
        </w:rPr>
        <w:t>1</w:t>
      </w:r>
      <w:r w:rsidR="001C0817">
        <w:rPr>
          <w:rFonts w:ascii="Comic Sans MS" w:hAnsi="Comic Sans MS" w:cs="Comic Sans MS"/>
        </w:rPr>
        <w:t>0</w:t>
      </w:r>
      <w:r w:rsidR="001A3AD1" w:rsidRPr="0000159C">
        <w:rPr>
          <w:rFonts w:ascii="Comic Sans MS" w:hAnsi="Comic Sans MS" w:cs="Comic Sans MS"/>
        </w:rPr>
        <w:t>.</w:t>
      </w:r>
      <w:r w:rsidR="001A3AD1" w:rsidRPr="0000159C">
        <w:rPr>
          <w:rFonts w:ascii="Comic Sans MS" w:hAnsi="Comic Sans MS" w:cs="Comic Sans MS"/>
        </w:rPr>
        <w:tab/>
      </w:r>
      <w:r w:rsidR="00603CC1">
        <w:rPr>
          <w:rFonts w:ascii="Comic Sans MS" w:hAnsi="Comic Sans MS" w:cs="Comic Sans MS"/>
        </w:rPr>
        <w:t>Structured Notes</w:t>
      </w:r>
      <w:r w:rsidR="0083277E">
        <w:rPr>
          <w:rFonts w:ascii="Comic Sans MS" w:hAnsi="Comic Sans MS"/>
        </w:rPr>
        <w:t xml:space="preserve"> </w:t>
      </w:r>
      <w:r w:rsidR="001A3AD1" w:rsidRPr="0000159C">
        <w:rPr>
          <w:rFonts w:ascii="Comic Sans MS" w:hAnsi="Comic Sans MS" w:cs="Comic Sans MS"/>
        </w:rPr>
        <w:t>(</w:t>
      </w:r>
      <w:r w:rsidR="009159E2">
        <w:rPr>
          <w:rFonts w:ascii="Comic Sans MS" w:hAnsi="Comic Sans MS" w:cs="Comic Sans MS"/>
        </w:rPr>
        <w:t>02/2</w:t>
      </w:r>
      <w:r w:rsidR="00B538BC">
        <w:rPr>
          <w:rFonts w:ascii="Comic Sans MS" w:hAnsi="Comic Sans MS" w:cs="Comic Sans MS"/>
        </w:rPr>
        <w:t>1</w:t>
      </w:r>
      <w:r w:rsidR="001A3AD1" w:rsidRPr="0000159C">
        <w:rPr>
          <w:rFonts w:ascii="Comic Sans MS" w:hAnsi="Comic Sans MS" w:cs="Comic Sans MS"/>
        </w:rPr>
        <w:t>)</w:t>
      </w:r>
    </w:p>
    <w:p w:rsidR="00603CC1" w:rsidRPr="0000159C" w:rsidRDefault="00603CC1" w:rsidP="00603CC1">
      <w:pPr>
        <w:pStyle w:val="BodyText2"/>
        <w:spacing w:after="120"/>
        <w:ind w:left="450" w:right="720" w:firstLine="0"/>
        <w:rPr>
          <w:sz w:val="22"/>
          <w:szCs w:val="22"/>
        </w:rPr>
      </w:pPr>
      <w:r w:rsidRPr="0000159C">
        <w:rPr>
          <w:sz w:val="22"/>
          <w:szCs w:val="22"/>
        </w:rPr>
        <w:t>Structured Notes are fixed income securities that combine bonds issued by an investment bank with options to provide equity exposure with different ris</w:t>
      </w:r>
      <w:r>
        <w:rPr>
          <w:sz w:val="22"/>
          <w:szCs w:val="22"/>
        </w:rPr>
        <w:t>k than conventional equities.  With Cecilia’s help, t</w:t>
      </w:r>
      <w:r w:rsidRPr="0000159C">
        <w:rPr>
          <w:sz w:val="22"/>
          <w:szCs w:val="22"/>
        </w:rPr>
        <w:t>his class discusses how structured notes are created, what factors determine their pricing and how they are used by institutional and individual investors.</w:t>
      </w:r>
    </w:p>
    <w:p w:rsidR="00CA75D1" w:rsidRPr="007B676D" w:rsidRDefault="00CA75D1" w:rsidP="00CA75D1">
      <w:pPr>
        <w:tabs>
          <w:tab w:val="left" w:pos="720"/>
          <w:tab w:val="left" w:pos="1440"/>
          <w:tab w:val="left" w:pos="2160"/>
          <w:tab w:val="right" w:pos="9000"/>
        </w:tabs>
        <w:spacing w:after="120" w:line="240" w:lineRule="auto"/>
        <w:ind w:left="450"/>
        <w:rPr>
          <w:rFonts w:ascii="Comic Sans MS" w:hAnsi="Comic Sans MS"/>
          <w:color w:val="000000"/>
        </w:rPr>
      </w:pPr>
      <w:r w:rsidRPr="00B422B9">
        <w:rPr>
          <w:rFonts w:ascii="Comic Sans MS" w:hAnsi="Comic Sans MS"/>
          <w:color w:val="000000"/>
        </w:rPr>
        <w:t xml:space="preserve">Guest Speaker:  </w:t>
      </w:r>
      <w:r>
        <w:rPr>
          <w:rFonts w:ascii="Comic Sans MS" w:hAnsi="Comic Sans MS"/>
          <w:color w:val="000000"/>
        </w:rPr>
        <w:t>Cecilia Manzolillo, Columbia Business School</w:t>
      </w:r>
    </w:p>
    <w:p w:rsidR="00603CC1" w:rsidRPr="0000159C" w:rsidRDefault="00603CC1" w:rsidP="00603CC1">
      <w:pPr>
        <w:pStyle w:val="BodyText2"/>
        <w:ind w:left="446" w:right="720" w:firstLine="0"/>
        <w:rPr>
          <w:sz w:val="22"/>
          <w:szCs w:val="22"/>
        </w:rPr>
      </w:pPr>
      <w:r w:rsidRPr="0000159C">
        <w:rPr>
          <w:sz w:val="22"/>
          <w:szCs w:val="22"/>
        </w:rPr>
        <w:t>Readings:</w:t>
      </w:r>
    </w:p>
    <w:p w:rsidR="00603CC1" w:rsidRPr="00122916" w:rsidRDefault="002B539A" w:rsidP="00122916">
      <w:pPr>
        <w:pStyle w:val="Header"/>
        <w:numPr>
          <w:ilvl w:val="0"/>
          <w:numId w:val="9"/>
        </w:numPr>
        <w:tabs>
          <w:tab w:val="clear" w:pos="2880"/>
          <w:tab w:val="clear" w:pos="4680"/>
          <w:tab w:val="clear" w:pos="9360"/>
          <w:tab w:val="left" w:pos="2100"/>
        </w:tabs>
        <w:overflowPunct w:val="0"/>
        <w:autoSpaceDE w:val="0"/>
        <w:autoSpaceDN w:val="0"/>
        <w:adjustRightInd w:val="0"/>
        <w:ind w:left="1080"/>
        <w:textAlignment w:val="baseline"/>
        <w:rPr>
          <w:rFonts w:ascii="Comic Sans MS" w:hAnsi="Comic Sans MS" w:cs="Comic Sans MS"/>
        </w:rPr>
      </w:pPr>
      <w:r w:rsidRPr="00122916">
        <w:rPr>
          <w:rFonts w:ascii="Comic Sans MS" w:hAnsi="Comic Sans MS" w:cs="Comic Sans MS"/>
        </w:rPr>
        <w:t>Chapter 12, pp. 347-350</w:t>
      </w:r>
      <w:r w:rsidR="008E15F7">
        <w:rPr>
          <w:rFonts w:ascii="Comic Sans MS" w:hAnsi="Comic Sans MS" w:cs="Comic Sans MS"/>
        </w:rPr>
        <w:br/>
      </w:r>
    </w:p>
    <w:p w:rsidR="007D112B" w:rsidRDefault="00075A9B" w:rsidP="00097009">
      <w:pPr>
        <w:tabs>
          <w:tab w:val="left" w:pos="450"/>
        </w:tabs>
        <w:spacing w:after="80"/>
        <w:rPr>
          <w:rFonts w:ascii="Comic Sans MS" w:hAnsi="Comic Sans MS"/>
        </w:rPr>
      </w:pPr>
      <w:r>
        <w:rPr>
          <w:rFonts w:ascii="Comic Sans MS" w:hAnsi="Comic Sans MS"/>
        </w:rPr>
        <w:t>1</w:t>
      </w:r>
      <w:r w:rsidR="0026306E">
        <w:rPr>
          <w:rFonts w:ascii="Comic Sans MS" w:hAnsi="Comic Sans MS"/>
        </w:rPr>
        <w:t>1</w:t>
      </w:r>
      <w:r w:rsidR="0000159C" w:rsidRPr="0000159C">
        <w:rPr>
          <w:rFonts w:ascii="Comic Sans MS" w:hAnsi="Comic Sans MS"/>
        </w:rPr>
        <w:t>.</w:t>
      </w:r>
      <w:r w:rsidR="0000159C" w:rsidRPr="0000159C">
        <w:rPr>
          <w:rFonts w:ascii="Comic Sans MS" w:hAnsi="Comic Sans MS"/>
        </w:rPr>
        <w:tab/>
      </w:r>
      <w:r w:rsidR="00603CC1" w:rsidRPr="0000159C">
        <w:rPr>
          <w:rFonts w:ascii="Comic Sans MS" w:hAnsi="Comic Sans MS"/>
          <w:color w:val="000000"/>
        </w:rPr>
        <w:t>Fixed Income</w:t>
      </w:r>
      <w:r w:rsidR="00603CC1">
        <w:rPr>
          <w:rFonts w:ascii="Comic Sans MS" w:hAnsi="Comic Sans MS"/>
          <w:color w:val="000000"/>
        </w:rPr>
        <w:t xml:space="preserve"> Derivatives</w:t>
      </w:r>
      <w:r w:rsidR="00603CC1">
        <w:rPr>
          <w:rFonts w:ascii="Comic Sans MS" w:hAnsi="Comic Sans MS"/>
        </w:rPr>
        <w:t xml:space="preserve"> </w:t>
      </w:r>
      <w:r w:rsidR="0095787E">
        <w:rPr>
          <w:rFonts w:ascii="Comic Sans MS" w:hAnsi="Comic Sans MS"/>
        </w:rPr>
        <w:t>(</w:t>
      </w:r>
      <w:r w:rsidR="009159E2">
        <w:rPr>
          <w:rFonts w:ascii="Comic Sans MS" w:hAnsi="Comic Sans MS" w:cs="Comic Sans MS"/>
        </w:rPr>
        <w:t>02</w:t>
      </w:r>
      <w:r w:rsidR="009159E2" w:rsidRPr="0000159C">
        <w:rPr>
          <w:rFonts w:ascii="Comic Sans MS" w:hAnsi="Comic Sans MS" w:cs="Comic Sans MS"/>
        </w:rPr>
        <w:t>/</w:t>
      </w:r>
      <w:r w:rsidR="009159E2">
        <w:rPr>
          <w:rFonts w:ascii="Comic Sans MS" w:hAnsi="Comic Sans MS" w:cs="Comic Sans MS"/>
        </w:rPr>
        <w:t>2</w:t>
      </w:r>
      <w:r w:rsidR="00B538BC">
        <w:rPr>
          <w:rFonts w:ascii="Comic Sans MS" w:hAnsi="Comic Sans MS" w:cs="Comic Sans MS"/>
        </w:rPr>
        <w:t>6</w:t>
      </w:r>
      <w:r w:rsidR="0095787E">
        <w:rPr>
          <w:rFonts w:ascii="Comic Sans MS" w:hAnsi="Comic Sans MS"/>
        </w:rPr>
        <w:t>)</w:t>
      </w:r>
    </w:p>
    <w:p w:rsidR="00603CC1" w:rsidRPr="002359A9" w:rsidRDefault="00603CC1" w:rsidP="00603CC1">
      <w:pPr>
        <w:tabs>
          <w:tab w:val="left" w:pos="720"/>
          <w:tab w:val="left" w:pos="1440"/>
          <w:tab w:val="left" w:pos="2160"/>
          <w:tab w:val="right" w:pos="9000"/>
        </w:tabs>
        <w:spacing w:after="120" w:line="240" w:lineRule="auto"/>
        <w:ind w:left="450"/>
        <w:rPr>
          <w:rFonts w:ascii="Comic Sans MS" w:eastAsia="Times New Roman" w:hAnsi="Comic Sans MS" w:cs="Times New Roman"/>
        </w:rPr>
      </w:pPr>
      <w:r w:rsidRPr="00612572">
        <w:rPr>
          <w:rFonts w:ascii="Comic Sans MS" w:hAnsi="Comic Sans MS"/>
          <w:color w:val="000000"/>
        </w:rPr>
        <w:t>For the next few classes we move away from Equities into</w:t>
      </w:r>
      <w:r>
        <w:rPr>
          <w:rFonts w:ascii="Comic Sans MS" w:hAnsi="Comic Sans MS"/>
          <w:color w:val="000000"/>
        </w:rPr>
        <w:t xml:space="preserve"> Fixed Income and Commodities.</w:t>
      </w:r>
    </w:p>
    <w:p w:rsidR="00603CC1" w:rsidRDefault="00603CC1" w:rsidP="00603CC1">
      <w:pPr>
        <w:tabs>
          <w:tab w:val="left" w:pos="720"/>
          <w:tab w:val="left" w:pos="1440"/>
          <w:tab w:val="left" w:pos="2160"/>
          <w:tab w:val="right" w:pos="9000"/>
        </w:tabs>
        <w:spacing w:after="120" w:line="240" w:lineRule="auto"/>
        <w:ind w:left="450"/>
        <w:rPr>
          <w:rFonts w:ascii="Comic Sans MS" w:hAnsi="Comic Sans MS"/>
          <w:color w:val="000000"/>
        </w:rPr>
      </w:pPr>
      <w:r>
        <w:rPr>
          <w:rFonts w:ascii="Comic Sans MS" w:hAnsi="Comic Sans MS"/>
          <w:color w:val="000000"/>
        </w:rPr>
        <w:t>Jack Hattem from Blackrock provides an overview of Fixed Income Derivatives products and describes how his company uses them.</w:t>
      </w:r>
    </w:p>
    <w:p w:rsidR="00603CC1" w:rsidRPr="007B676D" w:rsidRDefault="00603CC1" w:rsidP="00603CC1">
      <w:pPr>
        <w:tabs>
          <w:tab w:val="left" w:pos="720"/>
          <w:tab w:val="left" w:pos="1440"/>
          <w:tab w:val="left" w:pos="2160"/>
          <w:tab w:val="right" w:pos="9000"/>
        </w:tabs>
        <w:spacing w:after="120" w:line="240" w:lineRule="auto"/>
        <w:ind w:left="450"/>
        <w:rPr>
          <w:rFonts w:ascii="Comic Sans MS" w:hAnsi="Comic Sans MS"/>
          <w:color w:val="000000"/>
        </w:rPr>
      </w:pPr>
      <w:r w:rsidRPr="00B422B9">
        <w:rPr>
          <w:rFonts w:ascii="Comic Sans MS" w:hAnsi="Comic Sans MS"/>
          <w:color w:val="000000"/>
        </w:rPr>
        <w:t xml:space="preserve">Guest Speaker:  </w:t>
      </w:r>
      <w:r>
        <w:rPr>
          <w:rFonts w:ascii="Comic Sans MS" w:hAnsi="Comic Sans MS"/>
          <w:color w:val="000000"/>
        </w:rPr>
        <w:t>Jack Hattem, Blackrock</w:t>
      </w:r>
    </w:p>
    <w:p w:rsidR="004A0D44" w:rsidRPr="00381E37" w:rsidRDefault="004A0D44" w:rsidP="004A0D44">
      <w:pPr>
        <w:tabs>
          <w:tab w:val="left" w:pos="2070"/>
        </w:tabs>
        <w:spacing w:after="0" w:line="240" w:lineRule="auto"/>
        <w:ind w:left="360"/>
        <w:rPr>
          <w:rFonts w:ascii="Comic Sans MS" w:hAnsi="Comic Sans MS"/>
        </w:rPr>
      </w:pPr>
      <w:r w:rsidRPr="00381E37">
        <w:rPr>
          <w:rFonts w:ascii="Comic Sans MS" w:hAnsi="Comic Sans MS"/>
        </w:rPr>
        <w:t>Assignments:</w:t>
      </w:r>
    </w:p>
    <w:p w:rsidR="004A0D44" w:rsidRPr="00122916" w:rsidRDefault="004A0D44" w:rsidP="00122916">
      <w:pPr>
        <w:pStyle w:val="Header"/>
        <w:numPr>
          <w:ilvl w:val="0"/>
          <w:numId w:val="9"/>
        </w:numPr>
        <w:tabs>
          <w:tab w:val="clear" w:pos="2880"/>
          <w:tab w:val="clear" w:pos="4680"/>
          <w:tab w:val="clear" w:pos="9360"/>
          <w:tab w:val="left" w:pos="2100"/>
        </w:tabs>
        <w:overflowPunct w:val="0"/>
        <w:autoSpaceDE w:val="0"/>
        <w:autoSpaceDN w:val="0"/>
        <w:adjustRightInd w:val="0"/>
        <w:ind w:left="1080"/>
        <w:textAlignment w:val="baseline"/>
        <w:rPr>
          <w:rFonts w:ascii="Comic Sans MS" w:hAnsi="Comic Sans MS" w:cs="Comic Sans MS"/>
        </w:rPr>
      </w:pPr>
      <w:r w:rsidRPr="00122916">
        <w:rPr>
          <w:rFonts w:ascii="Comic Sans MS" w:hAnsi="Comic Sans MS" w:cs="Comic Sans MS"/>
        </w:rPr>
        <w:t xml:space="preserve">Assignment (3) – Options Skew and </w:t>
      </w:r>
      <w:r w:rsidR="004F6343" w:rsidRPr="004F6343">
        <w:rPr>
          <w:rFonts w:ascii="Comic Sans MS" w:hAnsi="Comic Sans MS" w:cs="Comic Sans MS"/>
        </w:rPr>
        <w:t>Term Structure / Structured</w:t>
      </w:r>
      <w:r w:rsidR="004F6343" w:rsidRPr="00122916">
        <w:rPr>
          <w:rFonts w:ascii="Comic Sans MS" w:hAnsi="Comic Sans MS" w:cs="Comic Sans MS"/>
        </w:rPr>
        <w:t xml:space="preserve"> </w:t>
      </w:r>
      <w:r w:rsidR="007F1761">
        <w:rPr>
          <w:rFonts w:ascii="Comic Sans MS" w:hAnsi="Comic Sans MS" w:cs="Comic Sans MS"/>
        </w:rPr>
        <w:t xml:space="preserve">Notes </w:t>
      </w:r>
      <w:r w:rsidRPr="00122916">
        <w:rPr>
          <w:rFonts w:ascii="Comic Sans MS" w:hAnsi="Comic Sans MS" w:cs="Comic Sans MS"/>
        </w:rPr>
        <w:t>(Type B)</w:t>
      </w:r>
      <w:r w:rsidR="008E15F7">
        <w:rPr>
          <w:rFonts w:ascii="Comic Sans MS" w:hAnsi="Comic Sans MS" w:cs="Comic Sans MS"/>
        </w:rPr>
        <w:br/>
      </w:r>
    </w:p>
    <w:p w:rsidR="00155D35" w:rsidRPr="0000159C" w:rsidRDefault="007D112B" w:rsidP="00097009">
      <w:pPr>
        <w:tabs>
          <w:tab w:val="left" w:pos="450"/>
        </w:tabs>
        <w:spacing w:after="80"/>
        <w:rPr>
          <w:rFonts w:ascii="Comic Sans MS" w:hAnsi="Comic Sans MS"/>
        </w:rPr>
      </w:pPr>
      <w:r>
        <w:rPr>
          <w:rFonts w:ascii="Comic Sans MS" w:hAnsi="Comic Sans MS"/>
        </w:rPr>
        <w:t>12.</w:t>
      </w:r>
      <w:r>
        <w:rPr>
          <w:rFonts w:ascii="Comic Sans MS" w:hAnsi="Comic Sans MS"/>
        </w:rPr>
        <w:tab/>
      </w:r>
      <w:r w:rsidR="003B23F9" w:rsidRPr="003B23F9">
        <w:rPr>
          <w:rFonts w:ascii="Comic Sans MS" w:hAnsi="Comic Sans MS"/>
        </w:rPr>
        <w:t>Commodity Indices and Futures</w:t>
      </w:r>
      <w:r w:rsidR="003B23F9">
        <w:rPr>
          <w:rFonts w:ascii="Comic Sans MS" w:hAnsi="Comic Sans MS"/>
        </w:rPr>
        <w:t xml:space="preserve"> </w:t>
      </w:r>
      <w:r w:rsidR="00155D35" w:rsidRPr="0000159C">
        <w:rPr>
          <w:rFonts w:ascii="Comic Sans MS" w:hAnsi="Comic Sans MS"/>
        </w:rPr>
        <w:t>(</w:t>
      </w:r>
      <w:r w:rsidR="00B538BC">
        <w:rPr>
          <w:rFonts w:ascii="Comic Sans MS" w:hAnsi="Comic Sans MS"/>
        </w:rPr>
        <w:t>02/28</w:t>
      </w:r>
      <w:r w:rsidR="00155D35" w:rsidRPr="0000159C">
        <w:rPr>
          <w:rFonts w:ascii="Comic Sans MS" w:hAnsi="Comic Sans MS"/>
        </w:rPr>
        <w:t>)</w:t>
      </w:r>
    </w:p>
    <w:p w:rsidR="0031487D" w:rsidRDefault="006C4BA2" w:rsidP="0031487D">
      <w:pPr>
        <w:tabs>
          <w:tab w:val="left" w:pos="720"/>
          <w:tab w:val="left" w:pos="1440"/>
          <w:tab w:val="left" w:pos="2160"/>
          <w:tab w:val="right" w:pos="9000"/>
        </w:tabs>
        <w:spacing w:after="120" w:line="240" w:lineRule="auto"/>
        <w:ind w:left="450"/>
        <w:rPr>
          <w:rFonts w:ascii="Comic Sans MS" w:hAnsi="Comic Sans MS"/>
          <w:color w:val="000000"/>
        </w:rPr>
      </w:pPr>
      <w:r>
        <w:rPr>
          <w:rFonts w:ascii="Comic Sans MS" w:hAnsi="Comic Sans MS"/>
          <w:color w:val="000000"/>
        </w:rPr>
        <w:t xml:space="preserve">Oliver Kinsey from Ballymena will provide an overview of the Commodity Derivatives Market. </w:t>
      </w:r>
      <w:r w:rsidR="0095787E">
        <w:rPr>
          <w:rFonts w:ascii="Comic Sans MS" w:hAnsi="Comic Sans MS"/>
          <w:color w:val="000000"/>
        </w:rPr>
        <w:t xml:space="preserve"> </w:t>
      </w:r>
    </w:p>
    <w:p w:rsidR="0031487D" w:rsidRPr="00612572" w:rsidRDefault="006C4BA2" w:rsidP="0031487D">
      <w:pPr>
        <w:tabs>
          <w:tab w:val="left" w:pos="720"/>
          <w:tab w:val="left" w:pos="1440"/>
          <w:tab w:val="left" w:pos="2160"/>
          <w:tab w:val="right" w:pos="9000"/>
        </w:tabs>
        <w:spacing w:after="120" w:line="240" w:lineRule="auto"/>
        <w:ind w:left="450"/>
        <w:rPr>
          <w:rFonts w:ascii="Comic Sans MS" w:hAnsi="Comic Sans MS"/>
          <w:color w:val="000000"/>
        </w:rPr>
      </w:pPr>
      <w:r>
        <w:rPr>
          <w:rFonts w:ascii="Comic Sans MS" w:hAnsi="Comic Sans MS"/>
          <w:color w:val="000000"/>
        </w:rPr>
        <w:t>Guest Speaker: Oliver Kinsey, Ballymena Advisors LLC</w:t>
      </w:r>
    </w:p>
    <w:p w:rsidR="0031487D" w:rsidRPr="00612572" w:rsidRDefault="0031487D" w:rsidP="0031487D">
      <w:pPr>
        <w:tabs>
          <w:tab w:val="left" w:pos="720"/>
          <w:tab w:val="left" w:pos="1440"/>
          <w:tab w:val="left" w:pos="2160"/>
          <w:tab w:val="right" w:pos="9000"/>
        </w:tabs>
        <w:spacing w:after="0" w:line="240" w:lineRule="auto"/>
        <w:ind w:left="450"/>
        <w:rPr>
          <w:rFonts w:ascii="Comic Sans MS" w:hAnsi="Comic Sans MS"/>
          <w:color w:val="000000"/>
        </w:rPr>
      </w:pPr>
      <w:r w:rsidRPr="00612572">
        <w:rPr>
          <w:rFonts w:ascii="Comic Sans MS" w:hAnsi="Comic Sans MS"/>
          <w:color w:val="000000"/>
        </w:rPr>
        <w:t>Readings:</w:t>
      </w:r>
    </w:p>
    <w:p w:rsidR="0031487D" w:rsidRPr="00122916" w:rsidRDefault="0031487D" w:rsidP="00122916">
      <w:pPr>
        <w:pStyle w:val="Header"/>
        <w:numPr>
          <w:ilvl w:val="0"/>
          <w:numId w:val="9"/>
        </w:numPr>
        <w:tabs>
          <w:tab w:val="clear" w:pos="2880"/>
          <w:tab w:val="clear" w:pos="4680"/>
          <w:tab w:val="clear" w:pos="9360"/>
          <w:tab w:val="left" w:pos="2100"/>
        </w:tabs>
        <w:overflowPunct w:val="0"/>
        <w:autoSpaceDE w:val="0"/>
        <w:autoSpaceDN w:val="0"/>
        <w:adjustRightInd w:val="0"/>
        <w:ind w:left="1080"/>
        <w:textAlignment w:val="baseline"/>
        <w:rPr>
          <w:rFonts w:ascii="Comic Sans MS" w:hAnsi="Comic Sans MS" w:cs="Comic Sans MS"/>
        </w:rPr>
      </w:pPr>
      <w:r w:rsidRPr="00122916">
        <w:rPr>
          <w:rFonts w:ascii="Comic Sans MS" w:hAnsi="Comic Sans MS" w:cs="Comic Sans MS"/>
        </w:rPr>
        <w:t>Commodity Investments: The Missing Piece of the Portfolio Puzzle?</w:t>
      </w:r>
      <w:r w:rsidR="00283E84" w:rsidRPr="00122916">
        <w:rPr>
          <w:rFonts w:ascii="Comic Sans MS" w:hAnsi="Comic Sans MS" w:cs="Comic Sans MS"/>
        </w:rPr>
        <w:t xml:space="preserve"> </w:t>
      </w:r>
      <w:r w:rsidR="008D0022" w:rsidRPr="00122916">
        <w:rPr>
          <w:rFonts w:ascii="Comic Sans MS" w:hAnsi="Comic Sans MS" w:cs="Comic Sans MS"/>
        </w:rPr>
        <w:t xml:space="preserve">(Kang, Xiaowei) </w:t>
      </w:r>
      <w:r w:rsidR="00283E84" w:rsidRPr="00122916">
        <w:rPr>
          <w:rFonts w:ascii="Comic Sans MS" w:hAnsi="Comic Sans MS" w:cs="Comic Sans MS"/>
        </w:rPr>
        <w:t>(LR)</w:t>
      </w:r>
    </w:p>
    <w:p w:rsidR="0031487D" w:rsidRPr="00122916" w:rsidRDefault="0031487D" w:rsidP="00122916">
      <w:pPr>
        <w:pStyle w:val="Header"/>
        <w:numPr>
          <w:ilvl w:val="0"/>
          <w:numId w:val="9"/>
        </w:numPr>
        <w:tabs>
          <w:tab w:val="clear" w:pos="2880"/>
          <w:tab w:val="clear" w:pos="4680"/>
          <w:tab w:val="clear" w:pos="9360"/>
          <w:tab w:val="left" w:pos="2100"/>
        </w:tabs>
        <w:overflowPunct w:val="0"/>
        <w:autoSpaceDE w:val="0"/>
        <w:autoSpaceDN w:val="0"/>
        <w:adjustRightInd w:val="0"/>
        <w:ind w:left="1080"/>
        <w:textAlignment w:val="baseline"/>
        <w:rPr>
          <w:rFonts w:ascii="Comic Sans MS" w:hAnsi="Comic Sans MS" w:cs="Comic Sans MS"/>
        </w:rPr>
      </w:pPr>
      <w:r w:rsidRPr="00122916">
        <w:rPr>
          <w:rFonts w:ascii="Comic Sans MS" w:hAnsi="Comic Sans MS" w:cs="Comic Sans MS"/>
        </w:rPr>
        <w:t>PIMCO, the Quiet Giant Among Commodity Investors: Kemp</w:t>
      </w:r>
      <w:r w:rsidR="00283E84" w:rsidRPr="00122916">
        <w:rPr>
          <w:rFonts w:ascii="Comic Sans MS" w:hAnsi="Comic Sans MS" w:cs="Comic Sans MS"/>
        </w:rPr>
        <w:t xml:space="preserve"> (LR)</w:t>
      </w:r>
      <w:r w:rsidR="009F5541">
        <w:rPr>
          <w:rFonts w:ascii="Comic Sans MS" w:hAnsi="Comic Sans MS" w:cs="Comic Sans MS"/>
        </w:rPr>
        <w:br/>
      </w:r>
    </w:p>
    <w:p w:rsidR="003F0E08" w:rsidRDefault="007D112B" w:rsidP="003F0E08">
      <w:pPr>
        <w:spacing w:after="120" w:line="240" w:lineRule="auto"/>
        <w:ind w:left="450"/>
        <w:rPr>
          <w:rFonts w:ascii="Comic Sans MS" w:hAnsi="Comic Sans MS"/>
          <w:b/>
        </w:rPr>
      </w:pPr>
      <w:r w:rsidRPr="007D112B">
        <w:rPr>
          <w:rFonts w:ascii="Comic Sans MS" w:hAnsi="Comic Sans MS"/>
          <w:b/>
        </w:rPr>
        <w:t>Exams:  Exam handed out</w:t>
      </w:r>
      <w:r w:rsidR="003F0E08">
        <w:rPr>
          <w:rFonts w:ascii="Comic Sans MS" w:hAnsi="Comic Sans MS"/>
          <w:b/>
        </w:rPr>
        <w:br/>
      </w:r>
    </w:p>
    <w:p w:rsidR="00EB3D00" w:rsidRPr="003F0E08" w:rsidRDefault="00EB3D00" w:rsidP="003F0E08">
      <w:pPr>
        <w:tabs>
          <w:tab w:val="left" w:pos="450"/>
        </w:tabs>
        <w:spacing w:after="80"/>
        <w:rPr>
          <w:rFonts w:ascii="Comic Sans MS" w:hAnsi="Comic Sans MS"/>
        </w:rPr>
      </w:pPr>
      <w:r>
        <w:rPr>
          <w:rFonts w:ascii="Comic Sans MS" w:hAnsi="Comic Sans MS"/>
        </w:rPr>
        <w:t>1</w:t>
      </w:r>
      <w:r w:rsidR="007D112B">
        <w:rPr>
          <w:rFonts w:ascii="Comic Sans MS" w:hAnsi="Comic Sans MS"/>
        </w:rPr>
        <w:t>3</w:t>
      </w:r>
      <w:r w:rsidRPr="0000159C">
        <w:rPr>
          <w:rFonts w:ascii="Comic Sans MS" w:hAnsi="Comic Sans MS"/>
        </w:rPr>
        <w:t>.</w:t>
      </w:r>
      <w:r w:rsidRPr="0000159C">
        <w:rPr>
          <w:rFonts w:ascii="Comic Sans MS" w:hAnsi="Comic Sans MS"/>
        </w:rPr>
        <w:tab/>
      </w:r>
      <w:r w:rsidR="00603CC1">
        <w:rPr>
          <w:rFonts w:ascii="Comic Sans MS" w:hAnsi="Comic Sans MS"/>
        </w:rPr>
        <w:t>Credit Derivatives and Convertible Bonds</w:t>
      </w:r>
      <w:r w:rsidR="00603CC1" w:rsidRPr="003F0E08">
        <w:rPr>
          <w:rFonts w:ascii="Comic Sans MS" w:hAnsi="Comic Sans MS"/>
        </w:rPr>
        <w:t xml:space="preserve"> </w:t>
      </w:r>
      <w:r w:rsidRPr="003F0E08">
        <w:rPr>
          <w:rFonts w:ascii="Comic Sans MS" w:hAnsi="Comic Sans MS"/>
        </w:rPr>
        <w:t>(</w:t>
      </w:r>
      <w:r w:rsidR="00B538BC" w:rsidRPr="003F0E08">
        <w:rPr>
          <w:rFonts w:ascii="Comic Sans MS" w:hAnsi="Comic Sans MS"/>
        </w:rPr>
        <w:t>03/19</w:t>
      </w:r>
      <w:r w:rsidRPr="003F0E08">
        <w:rPr>
          <w:rFonts w:ascii="Comic Sans MS" w:hAnsi="Comic Sans MS"/>
        </w:rPr>
        <w:t>)</w:t>
      </w:r>
    </w:p>
    <w:p w:rsidR="00603CC1" w:rsidRDefault="00603CC1" w:rsidP="00603CC1">
      <w:pPr>
        <w:tabs>
          <w:tab w:val="left" w:pos="720"/>
          <w:tab w:val="left" w:pos="1440"/>
          <w:tab w:val="left" w:pos="2160"/>
          <w:tab w:val="right" w:pos="9000"/>
        </w:tabs>
        <w:spacing w:after="120" w:line="240" w:lineRule="auto"/>
        <w:ind w:left="450"/>
        <w:rPr>
          <w:rFonts w:ascii="Comic Sans MS" w:hAnsi="Comic Sans MS"/>
          <w:color w:val="000000"/>
        </w:rPr>
      </w:pPr>
      <w:r>
        <w:rPr>
          <w:rFonts w:ascii="Comic Sans MS" w:hAnsi="Comic Sans MS"/>
          <w:color w:val="000000"/>
        </w:rPr>
        <w:t>Dominique Toublan will explore the inner workings of the Credit Derivatives Market, then I will introduce Convertible Bonds.</w:t>
      </w:r>
    </w:p>
    <w:p w:rsidR="00603CC1" w:rsidRPr="007D112B" w:rsidRDefault="00603CC1" w:rsidP="00603CC1">
      <w:pPr>
        <w:tabs>
          <w:tab w:val="left" w:pos="720"/>
          <w:tab w:val="left" w:pos="1440"/>
          <w:tab w:val="left" w:pos="2160"/>
          <w:tab w:val="right" w:pos="9000"/>
        </w:tabs>
        <w:spacing w:after="120" w:line="240" w:lineRule="auto"/>
        <w:ind w:left="450"/>
        <w:rPr>
          <w:rFonts w:ascii="Comic Sans MS" w:hAnsi="Comic Sans MS"/>
          <w:color w:val="000000"/>
        </w:rPr>
      </w:pPr>
      <w:r w:rsidRPr="00B422B9">
        <w:rPr>
          <w:rFonts w:ascii="Comic Sans MS" w:hAnsi="Comic Sans MS"/>
          <w:color w:val="000000"/>
        </w:rPr>
        <w:t xml:space="preserve">Guest Speaker:  </w:t>
      </w:r>
      <w:r>
        <w:rPr>
          <w:rFonts w:ascii="Comic Sans MS" w:hAnsi="Comic Sans MS"/>
          <w:color w:val="000000"/>
        </w:rPr>
        <w:t>Dominique Toublan, J.P. Morgan</w:t>
      </w:r>
    </w:p>
    <w:p w:rsidR="00603CC1" w:rsidRPr="0000159C" w:rsidRDefault="00603CC1" w:rsidP="00603CC1">
      <w:pPr>
        <w:pStyle w:val="BodyText2"/>
        <w:ind w:left="446" w:right="720" w:firstLine="0"/>
        <w:rPr>
          <w:sz w:val="22"/>
          <w:szCs w:val="22"/>
        </w:rPr>
      </w:pPr>
      <w:r w:rsidRPr="0000159C">
        <w:rPr>
          <w:sz w:val="22"/>
          <w:szCs w:val="22"/>
        </w:rPr>
        <w:t>Readings:</w:t>
      </w:r>
    </w:p>
    <w:p w:rsidR="00603CC1" w:rsidRPr="00A24E47" w:rsidRDefault="00B11C6D" w:rsidP="00A24E47">
      <w:pPr>
        <w:pStyle w:val="Header"/>
        <w:numPr>
          <w:ilvl w:val="0"/>
          <w:numId w:val="9"/>
        </w:numPr>
        <w:tabs>
          <w:tab w:val="clear" w:pos="2880"/>
          <w:tab w:val="clear" w:pos="4680"/>
          <w:tab w:val="clear" w:pos="9360"/>
          <w:tab w:val="left" w:pos="2100"/>
        </w:tabs>
        <w:overflowPunct w:val="0"/>
        <w:autoSpaceDE w:val="0"/>
        <w:autoSpaceDN w:val="0"/>
        <w:adjustRightInd w:val="0"/>
        <w:ind w:left="1080"/>
        <w:textAlignment w:val="baseline"/>
        <w:rPr>
          <w:rFonts w:ascii="Comic Sans MS" w:hAnsi="Comic Sans MS" w:cs="Comic Sans MS"/>
        </w:rPr>
      </w:pPr>
      <w:hyperlink r:id="rId14" w:history="1">
        <w:r w:rsidR="00603CC1" w:rsidRPr="00A24E47">
          <w:rPr>
            <w:rFonts w:ascii="Comic Sans MS" w:hAnsi="Comic Sans MS" w:cs="Comic Sans MS"/>
            <w:u w:val="single"/>
          </w:rPr>
          <w:t>Convertible Securities</w:t>
        </w:r>
      </w:hyperlink>
      <w:r w:rsidR="009F5541" w:rsidRPr="00A24E47">
        <w:rPr>
          <w:rFonts w:ascii="Comic Sans MS" w:hAnsi="Comic Sans MS" w:cs="Comic Sans MS"/>
        </w:rPr>
        <w:br/>
      </w:r>
      <w:r w:rsidR="00603CC1" w:rsidRPr="00A24E47">
        <w:rPr>
          <w:rFonts w:ascii="Comic Sans MS" w:hAnsi="Comic Sans MS" w:cs="Comic Sans MS"/>
          <w:u w:val="single"/>
        </w:rPr>
        <w:t>(</w:t>
      </w:r>
      <w:hyperlink r:id="rId15" w:history="1">
        <w:r w:rsidR="003F6E34" w:rsidRPr="003F6E34">
          <w:rPr>
            <w:rFonts w:ascii="Comic Sans MS" w:hAnsi="Comic Sans MS" w:cs="Comic Sans MS"/>
          </w:rPr>
          <w:t>https:</w:t>
        </w:r>
        <w:bookmarkStart w:id="0" w:name="_GoBack"/>
        <w:bookmarkEnd w:id="0"/>
        <w:r w:rsidR="003F6E34" w:rsidRPr="003F6E34">
          <w:rPr>
            <w:rFonts w:ascii="Comic Sans MS" w:hAnsi="Comic Sans MS" w:cs="Comic Sans MS"/>
          </w:rPr>
          <w:t>/</w:t>
        </w:r>
        <w:r w:rsidR="003F6E34" w:rsidRPr="003F6E34">
          <w:rPr>
            <w:rFonts w:ascii="Comic Sans MS" w:hAnsi="Comic Sans MS" w:cs="Comic Sans MS"/>
          </w:rPr>
          <w:t>/cb.hbsp.harvard.edu/cbmp/pl/73939248/73939252/5895f5a8c787ef92f3c5269f0e6875cf</w:t>
        </w:r>
      </w:hyperlink>
      <w:r w:rsidR="00603CC1" w:rsidRPr="00A24E47">
        <w:rPr>
          <w:rFonts w:ascii="Comic Sans MS" w:hAnsi="Comic Sans MS" w:cs="Comic Sans MS"/>
          <w:u w:val="single"/>
        </w:rPr>
        <w:t>)</w:t>
      </w:r>
      <w:r w:rsidR="00A24E47">
        <w:rPr>
          <w:rFonts w:ascii="Comic Sans MS" w:hAnsi="Comic Sans MS" w:cs="Comic Sans MS"/>
        </w:rPr>
        <w:br/>
      </w:r>
    </w:p>
    <w:p w:rsidR="00AF23C4" w:rsidRDefault="00AF23C4" w:rsidP="00AF23C4">
      <w:pPr>
        <w:tabs>
          <w:tab w:val="left" w:pos="450"/>
        </w:tabs>
        <w:spacing w:after="120"/>
        <w:rPr>
          <w:rFonts w:ascii="Comic Sans MS" w:hAnsi="Comic Sans MS" w:cs="Comic Sans MS"/>
        </w:rPr>
      </w:pPr>
      <w:r>
        <w:rPr>
          <w:rFonts w:ascii="Comic Sans MS" w:hAnsi="Comic Sans MS" w:cs="Comic Sans MS"/>
        </w:rPr>
        <w:lastRenderedPageBreak/>
        <w:t>1</w:t>
      </w:r>
      <w:r w:rsidR="00A2156E">
        <w:rPr>
          <w:rFonts w:ascii="Comic Sans MS" w:hAnsi="Comic Sans MS" w:cs="Comic Sans MS"/>
        </w:rPr>
        <w:t>4</w:t>
      </w:r>
      <w:r>
        <w:rPr>
          <w:rFonts w:ascii="Comic Sans MS" w:hAnsi="Comic Sans MS" w:cs="Comic Sans MS"/>
        </w:rPr>
        <w:t>.</w:t>
      </w:r>
      <w:r>
        <w:rPr>
          <w:rFonts w:ascii="Comic Sans MS" w:hAnsi="Comic Sans MS" w:cs="Comic Sans MS"/>
        </w:rPr>
        <w:tab/>
      </w:r>
      <w:r w:rsidR="006154B1" w:rsidRPr="0000159C">
        <w:rPr>
          <w:rFonts w:ascii="Comic Sans MS" w:hAnsi="Comic Sans MS" w:cs="Comic Sans MS"/>
        </w:rPr>
        <w:t>Ex</w:t>
      </w:r>
      <w:r w:rsidR="006154B1">
        <w:rPr>
          <w:rFonts w:ascii="Comic Sans MS" w:hAnsi="Comic Sans MS" w:cs="Comic Sans MS"/>
        </w:rPr>
        <w:t xml:space="preserve">otic Equity </w:t>
      </w:r>
      <w:r>
        <w:rPr>
          <w:rFonts w:ascii="Comic Sans MS" w:hAnsi="Comic Sans MS" w:cs="Comic Sans MS"/>
        </w:rPr>
        <w:t>Derivatives (</w:t>
      </w:r>
      <w:r w:rsidR="009159E2">
        <w:rPr>
          <w:rFonts w:ascii="Comic Sans MS" w:hAnsi="Comic Sans MS" w:cs="Comic Sans MS"/>
        </w:rPr>
        <w:t>03</w:t>
      </w:r>
      <w:r w:rsidR="009159E2" w:rsidRPr="0000159C">
        <w:rPr>
          <w:rFonts w:ascii="Comic Sans MS" w:hAnsi="Comic Sans MS" w:cs="Comic Sans MS"/>
        </w:rPr>
        <w:t>/</w:t>
      </w:r>
      <w:r w:rsidR="00B538BC">
        <w:rPr>
          <w:rFonts w:ascii="Comic Sans MS" w:hAnsi="Comic Sans MS" w:cs="Comic Sans MS"/>
        </w:rPr>
        <w:t>21</w:t>
      </w:r>
      <w:r>
        <w:rPr>
          <w:rFonts w:ascii="Comic Sans MS" w:hAnsi="Comic Sans MS" w:cs="Comic Sans MS"/>
        </w:rPr>
        <w:t>)</w:t>
      </w:r>
    </w:p>
    <w:p w:rsidR="006154B1" w:rsidRPr="0000159C" w:rsidRDefault="006154B1" w:rsidP="006154B1">
      <w:pPr>
        <w:pStyle w:val="BodyText2"/>
        <w:spacing w:after="120"/>
        <w:ind w:left="450" w:right="720" w:firstLine="0"/>
        <w:rPr>
          <w:sz w:val="22"/>
          <w:szCs w:val="22"/>
        </w:rPr>
      </w:pPr>
      <w:r w:rsidRPr="0000159C">
        <w:rPr>
          <w:sz w:val="22"/>
          <w:szCs w:val="22"/>
        </w:rPr>
        <w:t xml:space="preserve">Exotic Equity Derivatives </w:t>
      </w:r>
      <w:r>
        <w:rPr>
          <w:sz w:val="22"/>
          <w:szCs w:val="22"/>
        </w:rPr>
        <w:t>i</w:t>
      </w:r>
      <w:r w:rsidRPr="0000159C">
        <w:rPr>
          <w:sz w:val="22"/>
          <w:szCs w:val="22"/>
        </w:rPr>
        <w:t>s t</w:t>
      </w:r>
      <w:r>
        <w:rPr>
          <w:sz w:val="22"/>
          <w:szCs w:val="22"/>
        </w:rPr>
        <w:t>he focus of this class</w:t>
      </w:r>
      <w:r w:rsidRPr="0000159C">
        <w:rPr>
          <w:sz w:val="22"/>
          <w:szCs w:val="22"/>
        </w:rPr>
        <w:t>, concentr</w:t>
      </w:r>
      <w:r>
        <w:rPr>
          <w:sz w:val="22"/>
          <w:szCs w:val="22"/>
        </w:rPr>
        <w:t>ating on Path Dependent Options and</w:t>
      </w:r>
      <w:r w:rsidRPr="0000159C">
        <w:rPr>
          <w:sz w:val="22"/>
          <w:szCs w:val="22"/>
        </w:rPr>
        <w:t xml:space="preserve"> Correlation Options.  </w:t>
      </w:r>
      <w:r>
        <w:rPr>
          <w:sz w:val="22"/>
          <w:szCs w:val="22"/>
        </w:rPr>
        <w:t>Cecilia and I</w:t>
      </w:r>
      <w:r w:rsidRPr="0000159C">
        <w:rPr>
          <w:sz w:val="22"/>
          <w:szCs w:val="22"/>
        </w:rPr>
        <w:t xml:space="preserve"> start by explaining each product and comparing its benefits and risks to more conventional derivatives.  We end each class by discussing how investors use Exotic Equity Derivatives in their portfolios.</w:t>
      </w:r>
    </w:p>
    <w:p w:rsidR="006154B1" w:rsidRDefault="006154B1" w:rsidP="006154B1">
      <w:pPr>
        <w:tabs>
          <w:tab w:val="left" w:pos="720"/>
          <w:tab w:val="left" w:pos="1440"/>
          <w:tab w:val="left" w:pos="2160"/>
          <w:tab w:val="right" w:pos="9000"/>
        </w:tabs>
        <w:spacing w:after="120" w:line="240" w:lineRule="auto"/>
        <w:ind w:left="450"/>
        <w:rPr>
          <w:rFonts w:ascii="Comic Sans MS" w:hAnsi="Comic Sans MS"/>
          <w:color w:val="000000"/>
        </w:rPr>
      </w:pPr>
      <w:r w:rsidRPr="00B422B9">
        <w:rPr>
          <w:rFonts w:ascii="Comic Sans MS" w:hAnsi="Comic Sans MS"/>
          <w:color w:val="000000"/>
        </w:rPr>
        <w:t xml:space="preserve">Guest Speaker:  </w:t>
      </w:r>
      <w:r>
        <w:rPr>
          <w:rFonts w:ascii="Comic Sans MS" w:hAnsi="Comic Sans MS"/>
          <w:color w:val="000000"/>
        </w:rPr>
        <w:t>Cecilia Manzolillo, Columbia Business School</w:t>
      </w:r>
    </w:p>
    <w:p w:rsidR="00263C47" w:rsidRDefault="00263C47" w:rsidP="006154B1">
      <w:pPr>
        <w:tabs>
          <w:tab w:val="left" w:pos="720"/>
          <w:tab w:val="left" w:pos="1440"/>
          <w:tab w:val="left" w:pos="2160"/>
          <w:tab w:val="right" w:pos="9000"/>
        </w:tabs>
        <w:spacing w:after="120" w:line="240" w:lineRule="auto"/>
        <w:ind w:left="450"/>
        <w:rPr>
          <w:rFonts w:ascii="Comic Sans MS" w:hAnsi="Comic Sans MS"/>
          <w:color w:val="000000"/>
        </w:rPr>
      </w:pPr>
      <w:r>
        <w:rPr>
          <w:rFonts w:ascii="Comic Sans MS" w:hAnsi="Comic Sans MS"/>
          <w:color w:val="000000"/>
        </w:rPr>
        <w:t>Readings:</w:t>
      </w:r>
    </w:p>
    <w:p w:rsidR="006C4BA2" w:rsidRPr="00034500" w:rsidRDefault="00263C47" w:rsidP="00034500">
      <w:pPr>
        <w:pStyle w:val="Header"/>
        <w:numPr>
          <w:ilvl w:val="0"/>
          <w:numId w:val="9"/>
        </w:numPr>
        <w:tabs>
          <w:tab w:val="clear" w:pos="2880"/>
          <w:tab w:val="clear" w:pos="4680"/>
          <w:tab w:val="clear" w:pos="9360"/>
          <w:tab w:val="left" w:pos="2100"/>
        </w:tabs>
        <w:overflowPunct w:val="0"/>
        <w:autoSpaceDE w:val="0"/>
        <w:autoSpaceDN w:val="0"/>
        <w:adjustRightInd w:val="0"/>
        <w:ind w:left="1080"/>
        <w:textAlignment w:val="baseline"/>
        <w:rPr>
          <w:rFonts w:ascii="Comic Sans MS" w:hAnsi="Comic Sans MS" w:cs="Comic Sans MS"/>
        </w:rPr>
      </w:pPr>
      <w:r w:rsidRPr="0000159C">
        <w:rPr>
          <w:rFonts w:ascii="Comic Sans MS" w:hAnsi="Comic Sans MS" w:cs="Comic Sans MS"/>
        </w:rPr>
        <w:t>Chapter</w:t>
      </w:r>
      <w:r w:rsidR="00034500">
        <w:rPr>
          <w:rFonts w:ascii="Comic Sans MS" w:hAnsi="Comic Sans MS" w:cs="Comic Sans MS"/>
        </w:rPr>
        <w:t xml:space="preserve">s 7 and </w:t>
      </w:r>
      <w:r w:rsidRPr="0000159C">
        <w:rPr>
          <w:rFonts w:ascii="Comic Sans MS" w:hAnsi="Comic Sans MS" w:cs="Comic Sans MS"/>
        </w:rPr>
        <w:t>8</w:t>
      </w:r>
      <w:r w:rsidR="008E15F7">
        <w:rPr>
          <w:rFonts w:ascii="Comic Sans MS" w:hAnsi="Comic Sans MS" w:cs="Comic Sans MS"/>
        </w:rPr>
        <w:br/>
      </w:r>
    </w:p>
    <w:p w:rsidR="00AF23C4" w:rsidRPr="00845896" w:rsidRDefault="00C12451" w:rsidP="00034500">
      <w:pPr>
        <w:spacing w:after="120" w:line="240" w:lineRule="auto"/>
        <w:rPr>
          <w:rFonts w:ascii="Comic Sans MS" w:hAnsi="Comic Sans MS"/>
          <w:b/>
        </w:rPr>
      </w:pPr>
      <w:r>
        <w:rPr>
          <w:rFonts w:ascii="Comic Sans MS" w:hAnsi="Comic Sans MS"/>
          <w:b/>
        </w:rPr>
        <w:t>Exams:  Exam due</w:t>
      </w:r>
      <w:r w:rsidR="008E15F7">
        <w:rPr>
          <w:rFonts w:ascii="Comic Sans MS" w:hAnsi="Comic Sans MS"/>
          <w:b/>
        </w:rPr>
        <w:br/>
      </w:r>
    </w:p>
    <w:p w:rsidR="00EB3D00" w:rsidRPr="0000159C" w:rsidRDefault="00EB3D00" w:rsidP="00EB3D00">
      <w:pPr>
        <w:tabs>
          <w:tab w:val="left" w:pos="450"/>
        </w:tabs>
        <w:spacing w:after="120"/>
        <w:rPr>
          <w:rFonts w:ascii="Comic Sans MS" w:hAnsi="Comic Sans MS" w:cs="Comic Sans MS"/>
        </w:rPr>
      </w:pPr>
      <w:r w:rsidRPr="0000159C">
        <w:rPr>
          <w:rFonts w:ascii="Comic Sans MS" w:hAnsi="Comic Sans MS" w:cs="Comic Sans MS"/>
        </w:rPr>
        <w:t>1</w:t>
      </w:r>
      <w:r w:rsidR="00A2156E">
        <w:rPr>
          <w:rFonts w:ascii="Comic Sans MS" w:hAnsi="Comic Sans MS" w:cs="Comic Sans MS"/>
        </w:rPr>
        <w:t>5</w:t>
      </w:r>
      <w:r w:rsidRPr="0000159C">
        <w:rPr>
          <w:rFonts w:ascii="Comic Sans MS" w:hAnsi="Comic Sans MS" w:cs="Comic Sans MS"/>
        </w:rPr>
        <w:t xml:space="preserve">. </w:t>
      </w:r>
      <w:r w:rsidR="006154B1">
        <w:rPr>
          <w:rFonts w:ascii="Comic Sans MS" w:hAnsi="Comic Sans MS" w:cs="Comic Sans MS"/>
        </w:rPr>
        <w:t xml:space="preserve">Volatility </w:t>
      </w:r>
      <w:r>
        <w:rPr>
          <w:rFonts w:ascii="Comic Sans MS" w:hAnsi="Comic Sans MS" w:cs="Comic Sans MS"/>
        </w:rPr>
        <w:t xml:space="preserve">Derivatives </w:t>
      </w:r>
      <w:r w:rsidRPr="0000159C">
        <w:rPr>
          <w:rFonts w:ascii="Comic Sans MS" w:hAnsi="Comic Sans MS" w:cs="Comic Sans MS"/>
        </w:rPr>
        <w:t>(</w:t>
      </w:r>
      <w:r w:rsidR="009159E2">
        <w:rPr>
          <w:rFonts w:ascii="Comic Sans MS" w:hAnsi="Comic Sans MS" w:cs="Comic Sans MS"/>
        </w:rPr>
        <w:t>03/2</w:t>
      </w:r>
      <w:r w:rsidR="00B538BC">
        <w:rPr>
          <w:rFonts w:ascii="Comic Sans MS" w:hAnsi="Comic Sans MS" w:cs="Comic Sans MS"/>
        </w:rPr>
        <w:t>6</w:t>
      </w:r>
      <w:r w:rsidRPr="0000159C">
        <w:rPr>
          <w:rFonts w:ascii="Comic Sans MS" w:hAnsi="Comic Sans MS" w:cs="Comic Sans MS"/>
        </w:rPr>
        <w:t>)</w:t>
      </w:r>
    </w:p>
    <w:p w:rsidR="006154B1" w:rsidRPr="0000159C" w:rsidRDefault="006154B1" w:rsidP="006154B1">
      <w:pPr>
        <w:pStyle w:val="BodyText2"/>
        <w:spacing w:after="120"/>
        <w:ind w:left="450" w:right="720" w:firstLine="0"/>
        <w:rPr>
          <w:sz w:val="22"/>
          <w:szCs w:val="22"/>
        </w:rPr>
      </w:pPr>
      <w:r>
        <w:rPr>
          <w:sz w:val="22"/>
          <w:szCs w:val="22"/>
        </w:rPr>
        <w:t xml:space="preserve">Rocky Fishman from </w:t>
      </w:r>
      <w:r w:rsidR="006C4BA2">
        <w:rPr>
          <w:sz w:val="22"/>
          <w:szCs w:val="22"/>
        </w:rPr>
        <w:t>Goldman Sachs</w:t>
      </w:r>
      <w:r w:rsidRPr="0000159C">
        <w:rPr>
          <w:sz w:val="22"/>
          <w:szCs w:val="22"/>
        </w:rPr>
        <w:t xml:space="preserve"> will share current research he has done on strategies using the VIX.</w:t>
      </w:r>
    </w:p>
    <w:p w:rsidR="006154B1" w:rsidRDefault="006154B1" w:rsidP="006154B1">
      <w:pPr>
        <w:pStyle w:val="BodyText2"/>
        <w:spacing w:after="120"/>
        <w:ind w:left="2880" w:right="720" w:hanging="2430"/>
        <w:rPr>
          <w:sz w:val="22"/>
          <w:szCs w:val="22"/>
        </w:rPr>
      </w:pPr>
      <w:r w:rsidRPr="0000159C">
        <w:rPr>
          <w:sz w:val="22"/>
          <w:szCs w:val="22"/>
        </w:rPr>
        <w:t xml:space="preserve">Guest Speaker:  </w:t>
      </w:r>
      <w:r>
        <w:rPr>
          <w:sz w:val="22"/>
          <w:szCs w:val="22"/>
        </w:rPr>
        <w:t xml:space="preserve">Rocky Fishman, </w:t>
      </w:r>
      <w:r w:rsidR="00263C47">
        <w:rPr>
          <w:sz w:val="22"/>
          <w:szCs w:val="22"/>
        </w:rPr>
        <w:t>Goldman Sachs</w:t>
      </w:r>
    </w:p>
    <w:p w:rsidR="000950E9" w:rsidRPr="0000159C" w:rsidRDefault="000950E9" w:rsidP="000950E9">
      <w:pPr>
        <w:tabs>
          <w:tab w:val="left" w:pos="2070"/>
        </w:tabs>
        <w:spacing w:after="0" w:line="240" w:lineRule="auto"/>
        <w:ind w:left="360"/>
        <w:rPr>
          <w:rFonts w:ascii="Comic Sans MS" w:hAnsi="Comic Sans MS"/>
        </w:rPr>
      </w:pPr>
      <w:r w:rsidRPr="0000159C">
        <w:rPr>
          <w:rFonts w:ascii="Comic Sans MS" w:hAnsi="Comic Sans MS"/>
        </w:rPr>
        <w:t>Assignments:</w:t>
      </w:r>
    </w:p>
    <w:p w:rsidR="000950E9" w:rsidRPr="0000159C" w:rsidRDefault="000950E9" w:rsidP="009F5541">
      <w:pPr>
        <w:pStyle w:val="Header"/>
        <w:numPr>
          <w:ilvl w:val="0"/>
          <w:numId w:val="9"/>
        </w:numPr>
        <w:tabs>
          <w:tab w:val="clear" w:pos="2880"/>
          <w:tab w:val="clear" w:pos="4680"/>
          <w:tab w:val="clear" w:pos="9360"/>
          <w:tab w:val="left" w:pos="2100"/>
        </w:tabs>
        <w:overflowPunct w:val="0"/>
        <w:autoSpaceDE w:val="0"/>
        <w:autoSpaceDN w:val="0"/>
        <w:adjustRightInd w:val="0"/>
        <w:ind w:left="1080"/>
        <w:textAlignment w:val="baseline"/>
        <w:rPr>
          <w:rFonts w:ascii="Comic Sans MS" w:hAnsi="Comic Sans MS"/>
          <w:color w:val="000000"/>
        </w:rPr>
      </w:pPr>
      <w:r w:rsidRPr="009F5541">
        <w:rPr>
          <w:rFonts w:ascii="Comic Sans MS" w:hAnsi="Comic Sans MS" w:cs="Comic Sans MS"/>
        </w:rPr>
        <w:t>Assignment (4) –</w:t>
      </w:r>
      <w:r w:rsidR="000A7C17" w:rsidRPr="009F5541">
        <w:rPr>
          <w:rFonts w:ascii="Comic Sans MS" w:hAnsi="Comic Sans MS" w:cs="Comic Sans MS"/>
        </w:rPr>
        <w:t xml:space="preserve"> </w:t>
      </w:r>
      <w:r w:rsidR="00034500" w:rsidRPr="009F5541">
        <w:rPr>
          <w:rFonts w:ascii="Comic Sans MS" w:hAnsi="Comic Sans MS" w:cs="Comic Sans MS"/>
        </w:rPr>
        <w:t>Convertible Bond Valuations (Type B</w:t>
      </w:r>
      <w:r w:rsidRPr="009F5541">
        <w:rPr>
          <w:rFonts w:ascii="Comic Sans MS" w:hAnsi="Comic Sans MS" w:cs="Comic Sans MS"/>
        </w:rPr>
        <w:t>)</w:t>
      </w:r>
      <w:r w:rsidR="008E15F7" w:rsidRPr="009F5541">
        <w:rPr>
          <w:rFonts w:ascii="Comic Sans MS" w:hAnsi="Comic Sans MS" w:cs="Comic Sans MS"/>
        </w:rPr>
        <w:br/>
      </w:r>
    </w:p>
    <w:p w:rsidR="00155D35" w:rsidRPr="0000159C" w:rsidRDefault="00155D35" w:rsidP="00130A0A">
      <w:pPr>
        <w:pStyle w:val="Heading6"/>
        <w:spacing w:after="120"/>
        <w:rPr>
          <w:sz w:val="22"/>
          <w:szCs w:val="22"/>
        </w:rPr>
      </w:pPr>
      <w:r w:rsidRPr="0000159C">
        <w:rPr>
          <w:sz w:val="22"/>
          <w:szCs w:val="22"/>
        </w:rPr>
        <w:t xml:space="preserve">Section 2 </w:t>
      </w:r>
      <w:r w:rsidRPr="0000159C">
        <w:rPr>
          <w:b w:val="0"/>
          <w:bCs w:val="0"/>
          <w:sz w:val="22"/>
          <w:szCs w:val="22"/>
        </w:rPr>
        <w:t>–</w:t>
      </w:r>
      <w:r w:rsidRPr="0000159C">
        <w:rPr>
          <w:sz w:val="22"/>
          <w:szCs w:val="22"/>
        </w:rPr>
        <w:t xml:space="preserve"> Strategies</w:t>
      </w:r>
    </w:p>
    <w:p w:rsidR="00155D35" w:rsidRPr="0000159C" w:rsidRDefault="00155D35" w:rsidP="00434A56">
      <w:pPr>
        <w:tabs>
          <w:tab w:val="left" w:pos="450"/>
        </w:tabs>
        <w:spacing w:after="120"/>
        <w:rPr>
          <w:rFonts w:ascii="Comic Sans MS" w:hAnsi="Comic Sans MS" w:cs="Comic Sans MS"/>
        </w:rPr>
      </w:pPr>
      <w:r w:rsidRPr="0000159C">
        <w:rPr>
          <w:rFonts w:ascii="Comic Sans MS" w:hAnsi="Comic Sans MS" w:cs="Comic Sans MS"/>
        </w:rPr>
        <w:t>1</w:t>
      </w:r>
      <w:r w:rsidR="007A19A5">
        <w:rPr>
          <w:rFonts w:ascii="Comic Sans MS" w:hAnsi="Comic Sans MS" w:cs="Comic Sans MS"/>
        </w:rPr>
        <w:t>6</w:t>
      </w:r>
      <w:r w:rsidRPr="0000159C">
        <w:rPr>
          <w:rFonts w:ascii="Comic Sans MS" w:hAnsi="Comic Sans MS" w:cs="Comic Sans MS"/>
        </w:rPr>
        <w:t>.</w:t>
      </w:r>
      <w:r w:rsidRPr="0000159C">
        <w:rPr>
          <w:rFonts w:ascii="Comic Sans MS" w:hAnsi="Comic Sans MS" w:cs="Comic Sans MS"/>
        </w:rPr>
        <w:tab/>
      </w:r>
      <w:r w:rsidR="008736D5">
        <w:rPr>
          <w:rFonts w:ascii="Comic Sans MS" w:hAnsi="Comic Sans MS" w:cs="Comic Sans MS"/>
        </w:rPr>
        <w:t>Single Stock Options Strategies</w:t>
      </w:r>
      <w:r w:rsidRPr="0000159C">
        <w:rPr>
          <w:rFonts w:ascii="Comic Sans MS" w:hAnsi="Comic Sans MS" w:cs="Comic Sans MS"/>
        </w:rPr>
        <w:t xml:space="preserve"> (</w:t>
      </w:r>
      <w:r w:rsidR="009159E2">
        <w:rPr>
          <w:rFonts w:ascii="Comic Sans MS" w:hAnsi="Comic Sans MS" w:cs="Comic Sans MS"/>
        </w:rPr>
        <w:t>03/2</w:t>
      </w:r>
      <w:r w:rsidR="00B538BC">
        <w:rPr>
          <w:rFonts w:ascii="Comic Sans MS" w:hAnsi="Comic Sans MS" w:cs="Comic Sans MS"/>
        </w:rPr>
        <w:t>8</w:t>
      </w:r>
      <w:r w:rsidRPr="0000159C">
        <w:rPr>
          <w:rFonts w:ascii="Comic Sans MS" w:hAnsi="Comic Sans MS" w:cs="Comic Sans MS"/>
        </w:rPr>
        <w:t>)</w:t>
      </w:r>
    </w:p>
    <w:p w:rsidR="00155D35" w:rsidRPr="0000159C" w:rsidRDefault="00155D35" w:rsidP="00434A56">
      <w:pPr>
        <w:pStyle w:val="BodyText2"/>
        <w:spacing w:after="120"/>
        <w:ind w:left="450" w:right="720" w:firstLine="0"/>
        <w:rPr>
          <w:sz w:val="22"/>
          <w:szCs w:val="22"/>
        </w:rPr>
      </w:pPr>
      <w:r w:rsidRPr="0000159C">
        <w:rPr>
          <w:sz w:val="22"/>
          <w:szCs w:val="22"/>
        </w:rPr>
        <w:t xml:space="preserve">In this class we will discuss how Active Asset Managers tie their knowledge of the underlying company to develop options strategies on individual stocks.  </w:t>
      </w:r>
    </w:p>
    <w:p w:rsidR="00155D35" w:rsidRPr="0000159C" w:rsidRDefault="00155D35" w:rsidP="00921CD4">
      <w:pPr>
        <w:pStyle w:val="BodyText2"/>
        <w:ind w:left="446" w:right="720" w:firstLine="0"/>
        <w:rPr>
          <w:sz w:val="22"/>
          <w:szCs w:val="22"/>
        </w:rPr>
      </w:pPr>
      <w:bookmarkStart w:id="1" w:name="OLE_LINK1"/>
      <w:bookmarkStart w:id="2" w:name="OLE_LINK2"/>
      <w:r w:rsidRPr="0000159C">
        <w:rPr>
          <w:sz w:val="22"/>
          <w:szCs w:val="22"/>
        </w:rPr>
        <w:t>Readings:</w:t>
      </w:r>
    </w:p>
    <w:bookmarkEnd w:id="1"/>
    <w:bookmarkEnd w:id="2"/>
    <w:p w:rsidR="00034500" w:rsidRPr="00122916" w:rsidRDefault="00034500" w:rsidP="00122916">
      <w:pPr>
        <w:pStyle w:val="Header"/>
        <w:numPr>
          <w:ilvl w:val="0"/>
          <w:numId w:val="9"/>
        </w:numPr>
        <w:tabs>
          <w:tab w:val="clear" w:pos="2880"/>
          <w:tab w:val="clear" w:pos="4680"/>
          <w:tab w:val="clear" w:pos="9360"/>
          <w:tab w:val="left" w:pos="2100"/>
        </w:tabs>
        <w:overflowPunct w:val="0"/>
        <w:autoSpaceDE w:val="0"/>
        <w:autoSpaceDN w:val="0"/>
        <w:adjustRightInd w:val="0"/>
        <w:ind w:left="1080"/>
        <w:textAlignment w:val="baseline"/>
        <w:rPr>
          <w:rFonts w:ascii="Comic Sans MS" w:hAnsi="Comic Sans MS" w:cs="Comic Sans MS"/>
        </w:rPr>
      </w:pPr>
      <w:r w:rsidRPr="00122916">
        <w:rPr>
          <w:rFonts w:ascii="Comic Sans MS" w:hAnsi="Comic Sans MS" w:cs="Comic Sans MS"/>
        </w:rPr>
        <w:t>Chapter 11, pp. 315-322</w:t>
      </w:r>
    </w:p>
    <w:p w:rsidR="00155D35" w:rsidRPr="00122916" w:rsidRDefault="00206AF5" w:rsidP="00122916">
      <w:pPr>
        <w:pStyle w:val="Header"/>
        <w:numPr>
          <w:ilvl w:val="0"/>
          <w:numId w:val="9"/>
        </w:numPr>
        <w:tabs>
          <w:tab w:val="clear" w:pos="2880"/>
          <w:tab w:val="clear" w:pos="4680"/>
          <w:tab w:val="clear" w:pos="9360"/>
          <w:tab w:val="left" w:pos="2100"/>
        </w:tabs>
        <w:overflowPunct w:val="0"/>
        <w:autoSpaceDE w:val="0"/>
        <w:autoSpaceDN w:val="0"/>
        <w:adjustRightInd w:val="0"/>
        <w:ind w:left="1080"/>
        <w:textAlignment w:val="baseline"/>
        <w:rPr>
          <w:rFonts w:ascii="Comic Sans MS" w:hAnsi="Comic Sans MS" w:cs="Comic Sans MS"/>
        </w:rPr>
      </w:pPr>
      <w:r w:rsidRPr="00122916">
        <w:rPr>
          <w:rFonts w:ascii="Comic Sans MS" w:hAnsi="Comic Sans MS" w:cs="Comic Sans MS"/>
        </w:rPr>
        <w:t>Tutorial on Using Options in Active Strategies (Tsu, Maria E.)</w:t>
      </w:r>
      <w:r w:rsidR="00112EDC" w:rsidRPr="00122916">
        <w:rPr>
          <w:rFonts w:ascii="Comic Sans MS" w:hAnsi="Comic Sans MS" w:cs="Comic Sans MS"/>
        </w:rPr>
        <w:t xml:space="preserve"> (</w:t>
      </w:r>
      <w:r w:rsidR="00A2156E" w:rsidRPr="00122916">
        <w:rPr>
          <w:rFonts w:ascii="Comic Sans MS" w:hAnsi="Comic Sans MS" w:cs="Comic Sans MS"/>
        </w:rPr>
        <w:t>PDF</w:t>
      </w:r>
      <w:r w:rsidR="00112EDC" w:rsidRPr="00122916">
        <w:rPr>
          <w:rFonts w:ascii="Comic Sans MS" w:hAnsi="Comic Sans MS" w:cs="Comic Sans MS"/>
        </w:rPr>
        <w:t>)</w:t>
      </w:r>
    </w:p>
    <w:p w:rsidR="0055277C" w:rsidRPr="00122916" w:rsidRDefault="0055277C" w:rsidP="00122916">
      <w:pPr>
        <w:pStyle w:val="Header"/>
        <w:numPr>
          <w:ilvl w:val="0"/>
          <w:numId w:val="9"/>
        </w:numPr>
        <w:tabs>
          <w:tab w:val="clear" w:pos="2880"/>
          <w:tab w:val="clear" w:pos="4680"/>
          <w:tab w:val="clear" w:pos="9360"/>
          <w:tab w:val="left" w:pos="2100"/>
        </w:tabs>
        <w:overflowPunct w:val="0"/>
        <w:autoSpaceDE w:val="0"/>
        <w:autoSpaceDN w:val="0"/>
        <w:adjustRightInd w:val="0"/>
        <w:ind w:left="1080"/>
        <w:textAlignment w:val="baseline"/>
        <w:rPr>
          <w:rFonts w:ascii="Comic Sans MS" w:hAnsi="Comic Sans MS" w:cs="Comic Sans MS"/>
        </w:rPr>
      </w:pPr>
      <w:r w:rsidRPr="00122916">
        <w:rPr>
          <w:rFonts w:ascii="Comic Sans MS" w:hAnsi="Comic Sans MS" w:cs="Comic Sans MS"/>
        </w:rPr>
        <w:t>Covered Call Strategies:  One Fact and Eight Myths</w:t>
      </w:r>
      <w:r w:rsidR="00283E84" w:rsidRPr="00122916">
        <w:rPr>
          <w:rFonts w:ascii="Comic Sans MS" w:hAnsi="Comic Sans MS" w:cs="Comic Sans MS"/>
        </w:rPr>
        <w:t xml:space="preserve"> </w:t>
      </w:r>
      <w:r w:rsidR="00F52224" w:rsidRPr="00122916">
        <w:rPr>
          <w:rFonts w:ascii="Comic Sans MS" w:hAnsi="Comic Sans MS" w:cs="Comic Sans MS"/>
        </w:rPr>
        <w:t xml:space="preserve">(Israelov, Roni) </w:t>
      </w:r>
      <w:r w:rsidR="00283E84" w:rsidRPr="00122916">
        <w:rPr>
          <w:rFonts w:ascii="Comic Sans MS" w:hAnsi="Comic Sans MS" w:cs="Comic Sans MS"/>
        </w:rPr>
        <w:t>(LR)</w:t>
      </w:r>
      <w:r w:rsidR="008E15F7">
        <w:rPr>
          <w:rFonts w:ascii="Comic Sans MS" w:hAnsi="Comic Sans MS" w:cs="Comic Sans MS"/>
        </w:rPr>
        <w:br/>
      </w:r>
    </w:p>
    <w:p w:rsidR="00155D35" w:rsidRPr="0000159C" w:rsidRDefault="00155D35" w:rsidP="00921CD4">
      <w:pPr>
        <w:tabs>
          <w:tab w:val="left" w:pos="450"/>
        </w:tabs>
        <w:spacing w:after="120"/>
        <w:rPr>
          <w:rFonts w:ascii="Comic Sans MS" w:hAnsi="Comic Sans MS" w:cs="Comic Sans MS"/>
        </w:rPr>
      </w:pPr>
      <w:r w:rsidRPr="0000159C">
        <w:rPr>
          <w:rFonts w:ascii="Comic Sans MS" w:hAnsi="Comic Sans MS" w:cs="Comic Sans MS"/>
        </w:rPr>
        <w:t>1</w:t>
      </w:r>
      <w:r w:rsidR="007A19A5">
        <w:rPr>
          <w:rFonts w:ascii="Comic Sans MS" w:hAnsi="Comic Sans MS" w:cs="Comic Sans MS"/>
        </w:rPr>
        <w:t>7</w:t>
      </w:r>
      <w:r w:rsidR="0083277E">
        <w:rPr>
          <w:rFonts w:ascii="Comic Sans MS" w:hAnsi="Comic Sans MS" w:cs="Comic Sans MS"/>
        </w:rPr>
        <w:t>.</w:t>
      </w:r>
      <w:r w:rsidR="0083277E">
        <w:rPr>
          <w:rFonts w:ascii="Comic Sans MS" w:hAnsi="Comic Sans MS" w:cs="Comic Sans MS"/>
        </w:rPr>
        <w:tab/>
        <w:t>Portfolio Hedging</w:t>
      </w:r>
      <w:r w:rsidRPr="0000159C">
        <w:rPr>
          <w:rFonts w:ascii="Comic Sans MS" w:hAnsi="Comic Sans MS" w:cs="Comic Sans MS"/>
        </w:rPr>
        <w:t xml:space="preserve"> (</w:t>
      </w:r>
      <w:r w:rsidR="009159E2">
        <w:rPr>
          <w:rFonts w:ascii="Comic Sans MS" w:hAnsi="Comic Sans MS" w:cs="Comic Sans MS"/>
        </w:rPr>
        <w:t>04</w:t>
      </w:r>
      <w:r w:rsidR="009159E2" w:rsidRPr="0000159C">
        <w:rPr>
          <w:rFonts w:ascii="Comic Sans MS" w:hAnsi="Comic Sans MS" w:cs="Comic Sans MS"/>
        </w:rPr>
        <w:t>/</w:t>
      </w:r>
      <w:r w:rsidR="00B538BC">
        <w:rPr>
          <w:rFonts w:ascii="Comic Sans MS" w:hAnsi="Comic Sans MS" w:cs="Comic Sans MS"/>
        </w:rPr>
        <w:t>02</w:t>
      </w:r>
      <w:r w:rsidRPr="0000159C">
        <w:rPr>
          <w:rFonts w:ascii="Comic Sans MS" w:hAnsi="Comic Sans MS" w:cs="Comic Sans MS"/>
        </w:rPr>
        <w:t>)</w:t>
      </w:r>
    </w:p>
    <w:p w:rsidR="00155D35" w:rsidRDefault="00155D35" w:rsidP="00921CD4">
      <w:pPr>
        <w:pStyle w:val="BodyText2"/>
        <w:spacing w:after="120"/>
        <w:ind w:left="450" w:right="720" w:firstLine="0"/>
        <w:rPr>
          <w:sz w:val="22"/>
          <w:szCs w:val="22"/>
        </w:rPr>
      </w:pPr>
      <w:r w:rsidRPr="0000159C">
        <w:rPr>
          <w:sz w:val="22"/>
          <w:szCs w:val="22"/>
        </w:rPr>
        <w:t>Fund Managers use index options to change the risk on their overall portfolio.  In this class, we explore the strategies they follow and how to arrive at an appropriate hedge.</w:t>
      </w:r>
    </w:p>
    <w:p w:rsidR="004C48B0" w:rsidRPr="0000159C" w:rsidRDefault="004C48B0" w:rsidP="004C48B0">
      <w:pPr>
        <w:tabs>
          <w:tab w:val="left" w:pos="2070"/>
        </w:tabs>
        <w:spacing w:after="0" w:line="240" w:lineRule="auto"/>
        <w:ind w:left="360"/>
        <w:rPr>
          <w:rFonts w:ascii="Comic Sans MS" w:hAnsi="Comic Sans MS"/>
        </w:rPr>
      </w:pPr>
      <w:r w:rsidRPr="0000159C">
        <w:rPr>
          <w:rFonts w:ascii="Comic Sans MS" w:hAnsi="Comic Sans MS"/>
        </w:rPr>
        <w:t>Assignments:</w:t>
      </w:r>
    </w:p>
    <w:p w:rsidR="004C48B0" w:rsidRPr="00122916" w:rsidRDefault="004C48B0" w:rsidP="00122916">
      <w:pPr>
        <w:pStyle w:val="Header"/>
        <w:numPr>
          <w:ilvl w:val="0"/>
          <w:numId w:val="9"/>
        </w:numPr>
        <w:tabs>
          <w:tab w:val="clear" w:pos="2880"/>
          <w:tab w:val="clear" w:pos="4680"/>
          <w:tab w:val="clear" w:pos="9360"/>
          <w:tab w:val="left" w:pos="2100"/>
        </w:tabs>
        <w:overflowPunct w:val="0"/>
        <w:autoSpaceDE w:val="0"/>
        <w:autoSpaceDN w:val="0"/>
        <w:adjustRightInd w:val="0"/>
        <w:ind w:left="1080"/>
        <w:textAlignment w:val="baseline"/>
        <w:rPr>
          <w:rFonts w:ascii="Comic Sans MS" w:hAnsi="Comic Sans MS" w:cs="Comic Sans MS"/>
        </w:rPr>
      </w:pPr>
      <w:r w:rsidRPr="00122916">
        <w:rPr>
          <w:rFonts w:ascii="Comic Sans MS" w:hAnsi="Comic Sans MS" w:cs="Comic Sans MS"/>
        </w:rPr>
        <w:t>Assignment (</w:t>
      </w:r>
      <w:r w:rsidR="000950E9" w:rsidRPr="00122916">
        <w:rPr>
          <w:rFonts w:ascii="Comic Sans MS" w:hAnsi="Comic Sans MS" w:cs="Comic Sans MS"/>
        </w:rPr>
        <w:t>5) –</w:t>
      </w:r>
      <w:r w:rsidRPr="00122916">
        <w:rPr>
          <w:rFonts w:ascii="Comic Sans MS" w:hAnsi="Comic Sans MS" w:cs="Comic Sans MS"/>
        </w:rPr>
        <w:t xml:space="preserve">Stock Options Strategies (Type </w:t>
      </w:r>
      <w:r w:rsidR="000950E9" w:rsidRPr="00122916">
        <w:rPr>
          <w:rFonts w:ascii="Comic Sans MS" w:hAnsi="Comic Sans MS" w:cs="Comic Sans MS"/>
        </w:rPr>
        <w:t>B</w:t>
      </w:r>
      <w:r w:rsidRPr="00122916">
        <w:rPr>
          <w:rFonts w:ascii="Comic Sans MS" w:hAnsi="Comic Sans MS" w:cs="Comic Sans MS"/>
        </w:rPr>
        <w:t>)</w:t>
      </w:r>
      <w:r w:rsidR="008E15F7">
        <w:rPr>
          <w:rFonts w:ascii="Comic Sans MS" w:hAnsi="Comic Sans MS" w:cs="Comic Sans MS"/>
        </w:rPr>
        <w:br/>
      </w:r>
    </w:p>
    <w:p w:rsidR="00155D35" w:rsidRPr="0000159C" w:rsidRDefault="00155D35" w:rsidP="00921CD4">
      <w:pPr>
        <w:tabs>
          <w:tab w:val="left" w:pos="450"/>
        </w:tabs>
        <w:spacing w:after="120"/>
        <w:rPr>
          <w:rFonts w:ascii="Comic Sans MS" w:hAnsi="Comic Sans MS" w:cs="Comic Sans MS"/>
        </w:rPr>
      </w:pPr>
      <w:r w:rsidRPr="0000159C">
        <w:rPr>
          <w:rFonts w:ascii="Comic Sans MS" w:hAnsi="Comic Sans MS" w:cs="Comic Sans MS"/>
        </w:rPr>
        <w:t>1</w:t>
      </w:r>
      <w:r w:rsidR="00C66871">
        <w:rPr>
          <w:rFonts w:ascii="Comic Sans MS" w:hAnsi="Comic Sans MS" w:cs="Comic Sans MS"/>
        </w:rPr>
        <w:t>8</w:t>
      </w:r>
      <w:r w:rsidRPr="0000159C">
        <w:rPr>
          <w:rFonts w:ascii="Comic Sans MS" w:hAnsi="Comic Sans MS" w:cs="Comic Sans MS"/>
        </w:rPr>
        <w:t>.</w:t>
      </w:r>
      <w:r w:rsidRPr="0000159C">
        <w:rPr>
          <w:rFonts w:ascii="Comic Sans MS" w:hAnsi="Comic Sans MS" w:cs="Comic Sans MS"/>
        </w:rPr>
        <w:tab/>
        <w:t>Tax Considerati</w:t>
      </w:r>
      <w:r w:rsidR="0083277E">
        <w:rPr>
          <w:rFonts w:ascii="Comic Sans MS" w:hAnsi="Comic Sans MS" w:cs="Comic Sans MS"/>
        </w:rPr>
        <w:t>ons in Using Equity Derivatives</w:t>
      </w:r>
      <w:r w:rsidRPr="0000159C">
        <w:rPr>
          <w:rFonts w:ascii="Comic Sans MS" w:hAnsi="Comic Sans MS" w:cs="Comic Sans MS"/>
        </w:rPr>
        <w:t xml:space="preserve"> (</w:t>
      </w:r>
      <w:r w:rsidR="009159E2">
        <w:rPr>
          <w:rFonts w:ascii="Comic Sans MS" w:hAnsi="Comic Sans MS" w:cs="Comic Sans MS"/>
        </w:rPr>
        <w:t>04</w:t>
      </w:r>
      <w:r w:rsidR="009159E2" w:rsidRPr="0000159C">
        <w:rPr>
          <w:rFonts w:ascii="Comic Sans MS" w:hAnsi="Comic Sans MS" w:cs="Comic Sans MS"/>
        </w:rPr>
        <w:t>/</w:t>
      </w:r>
      <w:r w:rsidR="009159E2">
        <w:rPr>
          <w:rFonts w:ascii="Comic Sans MS" w:hAnsi="Comic Sans MS" w:cs="Comic Sans MS"/>
        </w:rPr>
        <w:t>0</w:t>
      </w:r>
      <w:r w:rsidR="00B538BC">
        <w:rPr>
          <w:rFonts w:ascii="Comic Sans MS" w:hAnsi="Comic Sans MS" w:cs="Comic Sans MS"/>
        </w:rPr>
        <w:t>4</w:t>
      </w:r>
      <w:r w:rsidRPr="0000159C">
        <w:rPr>
          <w:rFonts w:ascii="Comic Sans MS" w:hAnsi="Comic Sans MS" w:cs="Comic Sans MS"/>
        </w:rPr>
        <w:t>)</w:t>
      </w:r>
    </w:p>
    <w:p w:rsidR="00155D35" w:rsidRPr="0000159C" w:rsidRDefault="00155D35" w:rsidP="006F4BD6">
      <w:pPr>
        <w:pStyle w:val="BodyText2"/>
        <w:widowControl w:val="0"/>
        <w:spacing w:after="120"/>
        <w:ind w:left="446" w:right="720" w:firstLine="0"/>
        <w:rPr>
          <w:sz w:val="22"/>
          <w:szCs w:val="22"/>
        </w:rPr>
      </w:pPr>
      <w:r w:rsidRPr="0000159C">
        <w:rPr>
          <w:sz w:val="22"/>
          <w:szCs w:val="22"/>
        </w:rPr>
        <w:t>Individuals and corporations, before using derivatives need to be well versed in tax issues related to their overall strategy.  In this class we cover the tax laws most relevant to Equity Derivatives transactions and introduce strategies to enhance After-Tax returns.</w:t>
      </w:r>
    </w:p>
    <w:p w:rsidR="00155D35" w:rsidRPr="0000159C" w:rsidRDefault="00263C47" w:rsidP="00317F76">
      <w:pPr>
        <w:tabs>
          <w:tab w:val="left" w:pos="450"/>
        </w:tabs>
        <w:rPr>
          <w:rFonts w:ascii="Comic Sans MS" w:hAnsi="Comic Sans MS" w:cs="Comic Sans MS"/>
        </w:rPr>
      </w:pPr>
      <w:r>
        <w:rPr>
          <w:rFonts w:ascii="Comic Sans MS" w:hAnsi="Comic Sans MS" w:cs="Comic Sans MS"/>
        </w:rPr>
        <w:lastRenderedPageBreak/>
        <w:br/>
      </w:r>
      <w:r w:rsidR="008D2DBC">
        <w:rPr>
          <w:rFonts w:ascii="Comic Sans MS" w:hAnsi="Comic Sans MS" w:cs="Comic Sans MS"/>
        </w:rPr>
        <w:t>19</w:t>
      </w:r>
      <w:r w:rsidR="00317F76">
        <w:rPr>
          <w:rFonts w:ascii="Comic Sans MS" w:hAnsi="Comic Sans MS" w:cs="Comic Sans MS"/>
        </w:rPr>
        <w:t>.</w:t>
      </w:r>
      <w:r w:rsidR="00317F76">
        <w:rPr>
          <w:rFonts w:ascii="Comic Sans MS" w:hAnsi="Comic Sans MS" w:cs="Comic Sans MS"/>
        </w:rPr>
        <w:tab/>
      </w:r>
      <w:r w:rsidR="008D2DBC">
        <w:rPr>
          <w:rFonts w:ascii="Comic Sans MS" w:hAnsi="Comic Sans MS" w:cs="Comic Sans MS"/>
        </w:rPr>
        <w:t>Legal and Accounting Issues/</w:t>
      </w:r>
      <w:r w:rsidR="00155D35" w:rsidRPr="0000159C">
        <w:rPr>
          <w:rFonts w:ascii="Comic Sans MS" w:hAnsi="Comic Sans MS" w:cs="Comic Sans MS"/>
        </w:rPr>
        <w:t>Corpor</w:t>
      </w:r>
      <w:r w:rsidR="0083277E">
        <w:rPr>
          <w:rFonts w:ascii="Comic Sans MS" w:hAnsi="Comic Sans MS" w:cs="Comic Sans MS"/>
        </w:rPr>
        <w:t xml:space="preserve">ations and Insurance Companies </w:t>
      </w:r>
      <w:r w:rsidR="00155D35" w:rsidRPr="0000159C">
        <w:rPr>
          <w:rFonts w:ascii="Comic Sans MS" w:hAnsi="Comic Sans MS" w:cs="Comic Sans MS"/>
        </w:rPr>
        <w:t>(</w:t>
      </w:r>
      <w:r w:rsidR="009159E2">
        <w:rPr>
          <w:rFonts w:ascii="Comic Sans MS" w:hAnsi="Comic Sans MS" w:cs="Comic Sans MS"/>
        </w:rPr>
        <w:t>0</w:t>
      </w:r>
      <w:r w:rsidR="009159E2" w:rsidRPr="0000159C">
        <w:rPr>
          <w:rFonts w:ascii="Comic Sans MS" w:hAnsi="Comic Sans MS" w:cs="Comic Sans MS"/>
        </w:rPr>
        <w:t>4/</w:t>
      </w:r>
      <w:r w:rsidR="00B538BC">
        <w:rPr>
          <w:rFonts w:ascii="Comic Sans MS" w:hAnsi="Comic Sans MS" w:cs="Comic Sans MS"/>
        </w:rPr>
        <w:t>09</w:t>
      </w:r>
      <w:r w:rsidR="00155D35" w:rsidRPr="0000159C">
        <w:rPr>
          <w:rFonts w:ascii="Comic Sans MS" w:hAnsi="Comic Sans MS" w:cs="Comic Sans MS"/>
        </w:rPr>
        <w:t>)</w:t>
      </w:r>
    </w:p>
    <w:p w:rsidR="001260D9" w:rsidRPr="0000159C" w:rsidRDefault="001260D9" w:rsidP="001260D9">
      <w:pPr>
        <w:pStyle w:val="BodyText2"/>
        <w:spacing w:after="120"/>
        <w:ind w:left="450" w:right="720" w:firstLine="0"/>
        <w:rPr>
          <w:sz w:val="22"/>
          <w:szCs w:val="22"/>
        </w:rPr>
      </w:pPr>
      <w:r w:rsidRPr="0000159C">
        <w:rPr>
          <w:sz w:val="22"/>
          <w:szCs w:val="22"/>
        </w:rPr>
        <w:t xml:space="preserve">We </w:t>
      </w:r>
      <w:r>
        <w:rPr>
          <w:sz w:val="22"/>
          <w:szCs w:val="22"/>
        </w:rPr>
        <w:t>start</w:t>
      </w:r>
      <w:r w:rsidRPr="0000159C">
        <w:rPr>
          <w:sz w:val="22"/>
          <w:szCs w:val="22"/>
        </w:rPr>
        <w:t xml:space="preserve"> the class with a discussion of the relevant </w:t>
      </w:r>
      <w:r>
        <w:rPr>
          <w:sz w:val="22"/>
          <w:szCs w:val="22"/>
        </w:rPr>
        <w:t xml:space="preserve">legal and </w:t>
      </w:r>
      <w:r w:rsidRPr="0000159C">
        <w:rPr>
          <w:sz w:val="22"/>
          <w:szCs w:val="22"/>
        </w:rPr>
        <w:t>accounting considerations in he</w:t>
      </w:r>
      <w:r>
        <w:rPr>
          <w:sz w:val="22"/>
          <w:szCs w:val="22"/>
        </w:rPr>
        <w:t>dging a concentrated stock position</w:t>
      </w:r>
      <w:r w:rsidRPr="0000159C">
        <w:rPr>
          <w:sz w:val="22"/>
          <w:szCs w:val="22"/>
        </w:rPr>
        <w:t>.</w:t>
      </w:r>
    </w:p>
    <w:p w:rsidR="008D2DBC" w:rsidRDefault="001260D9" w:rsidP="008D2DBC">
      <w:pPr>
        <w:pStyle w:val="BodyText2"/>
        <w:spacing w:after="120"/>
        <w:ind w:left="450" w:right="720" w:firstLine="0"/>
        <w:rPr>
          <w:sz w:val="22"/>
          <w:szCs w:val="22"/>
        </w:rPr>
      </w:pPr>
      <w:r>
        <w:rPr>
          <w:sz w:val="22"/>
          <w:szCs w:val="22"/>
        </w:rPr>
        <w:t>We then discuss</w:t>
      </w:r>
      <w:r w:rsidR="008D2DBC" w:rsidRPr="0000159C">
        <w:rPr>
          <w:sz w:val="22"/>
          <w:szCs w:val="22"/>
        </w:rPr>
        <w:t xml:space="preserve"> how corporations use Equity Derivatives in Share Repurchase and Capital Formation strategies and how insurance companies use Equity Derivatives in Asset and Liability management.</w:t>
      </w:r>
    </w:p>
    <w:p w:rsidR="008D2DBC" w:rsidRPr="0000159C" w:rsidRDefault="008D2DBC" w:rsidP="008D2DBC">
      <w:pPr>
        <w:tabs>
          <w:tab w:val="left" w:pos="450"/>
        </w:tabs>
        <w:spacing w:after="0"/>
        <w:ind w:firstLine="446"/>
        <w:rPr>
          <w:rFonts w:ascii="Comic Sans MS" w:hAnsi="Comic Sans MS" w:cs="Comic Sans MS"/>
        </w:rPr>
      </w:pPr>
      <w:r w:rsidRPr="0000159C">
        <w:rPr>
          <w:rFonts w:ascii="Comic Sans MS" w:hAnsi="Comic Sans MS" w:cs="Comic Sans MS"/>
        </w:rPr>
        <w:t>Readings:</w:t>
      </w:r>
    </w:p>
    <w:p w:rsidR="008D2DBC" w:rsidRPr="008E15F7" w:rsidRDefault="00B11C6D" w:rsidP="008E15F7">
      <w:pPr>
        <w:pStyle w:val="Header"/>
        <w:numPr>
          <w:ilvl w:val="0"/>
          <w:numId w:val="9"/>
        </w:numPr>
        <w:tabs>
          <w:tab w:val="clear" w:pos="2880"/>
          <w:tab w:val="clear" w:pos="4680"/>
          <w:tab w:val="clear" w:pos="9360"/>
          <w:tab w:val="left" w:pos="2100"/>
        </w:tabs>
        <w:overflowPunct w:val="0"/>
        <w:autoSpaceDE w:val="0"/>
        <w:autoSpaceDN w:val="0"/>
        <w:adjustRightInd w:val="0"/>
        <w:ind w:left="1080"/>
        <w:textAlignment w:val="baseline"/>
        <w:rPr>
          <w:rFonts w:ascii="Comic Sans MS" w:hAnsi="Comic Sans MS" w:cs="Comic Sans MS"/>
          <w:u w:val="single"/>
        </w:rPr>
      </w:pPr>
      <w:hyperlink r:id="rId16" w:history="1">
        <w:r w:rsidR="008D2DBC" w:rsidRPr="008E15F7">
          <w:rPr>
            <w:rFonts w:ascii="Comic Sans MS" w:hAnsi="Comic Sans MS" w:cs="Comic Sans MS"/>
            <w:u w:val="single"/>
          </w:rPr>
          <w:t>Rule 144:  Selling Restricted and Control Securities</w:t>
        </w:r>
      </w:hyperlink>
      <w:r w:rsidR="00525A55" w:rsidRPr="008E15F7">
        <w:rPr>
          <w:rFonts w:ascii="Comic Sans MS" w:hAnsi="Comic Sans MS" w:cs="Comic Sans MS"/>
          <w:u w:val="single"/>
        </w:rPr>
        <w:t xml:space="preserve"> (</w:t>
      </w:r>
      <w:hyperlink r:id="rId17" w:history="1">
        <w:r w:rsidR="00525A55" w:rsidRPr="008E15F7">
          <w:rPr>
            <w:rFonts w:ascii="Comic Sans MS" w:hAnsi="Comic Sans MS" w:cs="Comic Sans MS"/>
            <w:u w:val="single"/>
          </w:rPr>
          <w:t>http://www.sec.gov/investor/pubs/rule144.htm</w:t>
        </w:r>
      </w:hyperlink>
      <w:r w:rsidR="00525A55" w:rsidRPr="008E15F7">
        <w:rPr>
          <w:rFonts w:ascii="Comic Sans MS" w:hAnsi="Comic Sans MS" w:cs="Comic Sans MS"/>
          <w:u w:val="single"/>
        </w:rPr>
        <w:t>)</w:t>
      </w:r>
      <w:r w:rsidR="008E15F7">
        <w:rPr>
          <w:rFonts w:ascii="Comic Sans MS" w:hAnsi="Comic Sans MS" w:cs="Comic Sans MS"/>
          <w:u w:val="single"/>
        </w:rPr>
        <w:t xml:space="preserve"> </w:t>
      </w:r>
      <w:r w:rsidR="008E15F7" w:rsidRPr="008E15F7">
        <w:rPr>
          <w:rFonts w:ascii="Comic Sans MS" w:hAnsi="Comic Sans MS" w:cs="Comic Sans MS"/>
          <w:u w:val="single"/>
        </w:rPr>
        <w:t xml:space="preserve"> </w:t>
      </w:r>
    </w:p>
    <w:p w:rsidR="00933E08" w:rsidRDefault="008D2DBC" w:rsidP="008E15F7">
      <w:pPr>
        <w:pStyle w:val="Header"/>
        <w:numPr>
          <w:ilvl w:val="0"/>
          <w:numId w:val="9"/>
        </w:numPr>
        <w:tabs>
          <w:tab w:val="clear" w:pos="2880"/>
          <w:tab w:val="clear" w:pos="4680"/>
          <w:tab w:val="clear" w:pos="9360"/>
          <w:tab w:val="left" w:pos="2100"/>
        </w:tabs>
        <w:overflowPunct w:val="0"/>
        <w:autoSpaceDE w:val="0"/>
        <w:autoSpaceDN w:val="0"/>
        <w:adjustRightInd w:val="0"/>
        <w:ind w:left="1080"/>
        <w:textAlignment w:val="baseline"/>
        <w:rPr>
          <w:rFonts w:ascii="Comic Sans MS" w:hAnsi="Comic Sans MS" w:cs="Comic Sans MS"/>
        </w:rPr>
      </w:pPr>
      <w:r w:rsidRPr="008E15F7">
        <w:rPr>
          <w:rFonts w:ascii="Comic Sans MS" w:hAnsi="Comic Sans MS" w:cs="Comic Sans MS"/>
        </w:rPr>
        <w:t>Diversifying Concentrated Stock Positions Through Equity Collars</w:t>
      </w:r>
      <w:r w:rsidR="005A137A" w:rsidRPr="008E15F7">
        <w:rPr>
          <w:rFonts w:ascii="Comic Sans MS" w:hAnsi="Comic Sans MS" w:cs="Comic Sans MS"/>
        </w:rPr>
        <w:t xml:space="preserve"> (PDF)</w:t>
      </w:r>
    </w:p>
    <w:p w:rsidR="00933E08" w:rsidRDefault="00933E08" w:rsidP="00933E08">
      <w:pPr>
        <w:tabs>
          <w:tab w:val="left" w:pos="450"/>
        </w:tabs>
        <w:spacing w:after="120"/>
        <w:ind w:left="1080"/>
        <w:rPr>
          <w:rFonts w:ascii="Comic Sans MS" w:hAnsi="Comic Sans MS" w:cs="Comic Sans MS"/>
        </w:rPr>
      </w:pPr>
    </w:p>
    <w:p w:rsidR="00933E08" w:rsidRPr="00933E08" w:rsidRDefault="00933E08" w:rsidP="00933E08">
      <w:pPr>
        <w:tabs>
          <w:tab w:val="left" w:pos="450"/>
        </w:tabs>
        <w:rPr>
          <w:rFonts w:ascii="Comic Sans MS" w:hAnsi="Comic Sans MS" w:cs="Comic Sans MS"/>
        </w:rPr>
      </w:pPr>
      <w:r w:rsidRPr="00933E08">
        <w:rPr>
          <w:rFonts w:ascii="Comic Sans MS" w:hAnsi="Comic Sans MS" w:cs="Comic Sans MS"/>
        </w:rPr>
        <w:t>20.</w:t>
      </w:r>
      <w:r w:rsidRPr="00933E08">
        <w:rPr>
          <w:rFonts w:ascii="Comic Sans MS" w:hAnsi="Comic Sans MS" w:cs="Comic Sans MS"/>
        </w:rPr>
        <w:tab/>
      </w:r>
      <w:r w:rsidR="00D0263F">
        <w:rPr>
          <w:rFonts w:ascii="Comic Sans MS" w:hAnsi="Comic Sans MS" w:cs="Comic Sans MS"/>
        </w:rPr>
        <w:t>Currency and Cryptocurrency Derivatives</w:t>
      </w:r>
      <w:r w:rsidRPr="00933E08">
        <w:rPr>
          <w:rFonts w:ascii="Comic Sans MS" w:hAnsi="Comic Sans MS" w:cs="Comic Sans MS"/>
        </w:rPr>
        <w:t xml:space="preserve"> (04/11)</w:t>
      </w:r>
    </w:p>
    <w:p w:rsidR="00933E08" w:rsidRPr="0000159C" w:rsidRDefault="00933E08" w:rsidP="00933E08">
      <w:pPr>
        <w:pStyle w:val="BodyText2"/>
        <w:spacing w:after="120"/>
        <w:ind w:left="450" w:right="720" w:firstLine="0"/>
        <w:rPr>
          <w:sz w:val="22"/>
          <w:szCs w:val="22"/>
        </w:rPr>
      </w:pPr>
      <w:r>
        <w:rPr>
          <w:sz w:val="22"/>
          <w:szCs w:val="22"/>
        </w:rPr>
        <w:t xml:space="preserve">With the help of a few speakers, we will discuss </w:t>
      </w:r>
      <w:r w:rsidR="00D0263F">
        <w:rPr>
          <w:sz w:val="22"/>
          <w:szCs w:val="22"/>
        </w:rPr>
        <w:t>how investors use derivatives to manage currency risks, and introduce a new product in the capital markets, cryptocurrency derivatives.</w:t>
      </w:r>
    </w:p>
    <w:p w:rsidR="008D2DBC" w:rsidRPr="00933E08" w:rsidRDefault="00933E08" w:rsidP="00D0263F">
      <w:pPr>
        <w:pStyle w:val="BodyText2"/>
        <w:spacing w:after="120"/>
        <w:ind w:left="2160" w:right="720" w:hanging="1710"/>
        <w:rPr>
          <w:sz w:val="22"/>
          <w:szCs w:val="22"/>
        </w:rPr>
      </w:pPr>
      <w:r w:rsidRPr="0000159C">
        <w:rPr>
          <w:sz w:val="22"/>
          <w:szCs w:val="22"/>
        </w:rPr>
        <w:t>Guest Speakers:</w:t>
      </w:r>
      <w:r w:rsidRPr="0000159C">
        <w:rPr>
          <w:sz w:val="22"/>
          <w:szCs w:val="22"/>
        </w:rPr>
        <w:tab/>
      </w:r>
      <w:r w:rsidR="00D0263F">
        <w:rPr>
          <w:sz w:val="22"/>
          <w:szCs w:val="22"/>
        </w:rPr>
        <w:t xml:space="preserve">Brian Smith, Morgan Stanley </w:t>
      </w:r>
      <w:r w:rsidR="00D0263F">
        <w:rPr>
          <w:sz w:val="22"/>
          <w:szCs w:val="22"/>
        </w:rPr>
        <w:br/>
        <w:t>Hossein Azari</w:t>
      </w:r>
      <w:r>
        <w:rPr>
          <w:sz w:val="22"/>
          <w:szCs w:val="22"/>
        </w:rPr>
        <w:br/>
      </w:r>
    </w:p>
    <w:p w:rsidR="00155D35" w:rsidRPr="00110EB4" w:rsidRDefault="00155D35" w:rsidP="00110EB4">
      <w:pPr>
        <w:pStyle w:val="Heading6"/>
        <w:spacing w:after="120"/>
        <w:rPr>
          <w:sz w:val="22"/>
          <w:szCs w:val="22"/>
        </w:rPr>
      </w:pPr>
      <w:r w:rsidRPr="00110EB4">
        <w:rPr>
          <w:sz w:val="22"/>
          <w:szCs w:val="22"/>
        </w:rPr>
        <w:t xml:space="preserve">Section 3 – </w:t>
      </w:r>
      <w:r w:rsidR="003F0E08">
        <w:rPr>
          <w:sz w:val="22"/>
          <w:szCs w:val="22"/>
        </w:rPr>
        <w:t>Learning From History</w:t>
      </w:r>
    </w:p>
    <w:p w:rsidR="00AF23C4" w:rsidRPr="0000159C" w:rsidRDefault="00AF23C4" w:rsidP="00AF23C4">
      <w:pPr>
        <w:tabs>
          <w:tab w:val="left" w:pos="450"/>
        </w:tabs>
        <w:spacing w:after="120"/>
        <w:rPr>
          <w:rFonts w:ascii="Comic Sans MS" w:hAnsi="Comic Sans MS" w:cs="Comic Sans MS"/>
        </w:rPr>
      </w:pPr>
      <w:r w:rsidRPr="0000159C">
        <w:rPr>
          <w:rFonts w:ascii="Comic Sans MS" w:hAnsi="Comic Sans MS" w:cs="Comic Sans MS"/>
        </w:rPr>
        <w:t>2</w:t>
      </w:r>
      <w:r w:rsidR="00933E08">
        <w:rPr>
          <w:rFonts w:ascii="Comic Sans MS" w:hAnsi="Comic Sans MS" w:cs="Comic Sans MS"/>
        </w:rPr>
        <w:t>1</w:t>
      </w:r>
      <w:r>
        <w:rPr>
          <w:rFonts w:ascii="Comic Sans MS" w:hAnsi="Comic Sans MS" w:cs="Comic Sans MS"/>
        </w:rPr>
        <w:t>.</w:t>
      </w:r>
      <w:r>
        <w:rPr>
          <w:rFonts w:ascii="Comic Sans MS" w:hAnsi="Comic Sans MS" w:cs="Comic Sans MS"/>
        </w:rPr>
        <w:tab/>
        <w:t xml:space="preserve">Learning from Ancient History </w:t>
      </w:r>
      <w:r w:rsidRPr="0000159C">
        <w:rPr>
          <w:rFonts w:ascii="Comic Sans MS" w:hAnsi="Comic Sans MS" w:cs="Comic Sans MS"/>
        </w:rPr>
        <w:t>(</w:t>
      </w:r>
      <w:r w:rsidR="009159E2">
        <w:rPr>
          <w:rFonts w:ascii="Comic Sans MS" w:hAnsi="Comic Sans MS" w:cs="Comic Sans MS"/>
        </w:rPr>
        <w:t>0</w:t>
      </w:r>
      <w:r w:rsidR="009159E2" w:rsidRPr="0000159C">
        <w:rPr>
          <w:rFonts w:ascii="Comic Sans MS" w:hAnsi="Comic Sans MS" w:cs="Comic Sans MS"/>
        </w:rPr>
        <w:t>4/</w:t>
      </w:r>
      <w:r w:rsidR="00933E08">
        <w:rPr>
          <w:rFonts w:ascii="Comic Sans MS" w:hAnsi="Comic Sans MS" w:cs="Comic Sans MS"/>
        </w:rPr>
        <w:t>16</w:t>
      </w:r>
      <w:r w:rsidRPr="0000159C">
        <w:rPr>
          <w:rFonts w:ascii="Comic Sans MS" w:hAnsi="Comic Sans MS" w:cs="Comic Sans MS"/>
        </w:rPr>
        <w:t>)</w:t>
      </w:r>
    </w:p>
    <w:p w:rsidR="00AF23C4" w:rsidRDefault="00AF23C4" w:rsidP="00AF23C4">
      <w:pPr>
        <w:pStyle w:val="BodyText2"/>
        <w:spacing w:after="120"/>
        <w:ind w:left="450" w:right="720" w:firstLine="0"/>
        <w:rPr>
          <w:sz w:val="22"/>
          <w:szCs w:val="22"/>
        </w:rPr>
      </w:pPr>
      <w:r w:rsidRPr="0000159C">
        <w:rPr>
          <w:sz w:val="22"/>
          <w:szCs w:val="22"/>
        </w:rPr>
        <w:t xml:space="preserve">To help project the future impact of Equity Derivatives on the Equities Market it is useful to understand history.  In this class we discuss situations in history where Equity Futures and Options were misused.  Prior to 2008, </w:t>
      </w:r>
      <w:r w:rsidR="00370DD1">
        <w:rPr>
          <w:sz w:val="22"/>
          <w:szCs w:val="22"/>
        </w:rPr>
        <w:t>three</w:t>
      </w:r>
      <w:r w:rsidRPr="0000159C">
        <w:rPr>
          <w:sz w:val="22"/>
          <w:szCs w:val="22"/>
        </w:rPr>
        <w:t xml:space="preserve"> stand out, Portfolio Insurance and the 1987 crash, Long-Term Capital Management, Nick Le</w:t>
      </w:r>
      <w:r w:rsidR="00370DD1">
        <w:rPr>
          <w:sz w:val="22"/>
          <w:szCs w:val="22"/>
        </w:rPr>
        <w:t>e</w:t>
      </w:r>
      <w:r w:rsidRPr="0000159C">
        <w:rPr>
          <w:sz w:val="22"/>
          <w:szCs w:val="22"/>
        </w:rPr>
        <w:t>son</w:t>
      </w:r>
      <w:r w:rsidR="00370DD1">
        <w:rPr>
          <w:sz w:val="22"/>
          <w:szCs w:val="22"/>
        </w:rPr>
        <w:t xml:space="preserve"> –</w:t>
      </w:r>
      <w:r w:rsidRPr="0000159C">
        <w:rPr>
          <w:sz w:val="22"/>
          <w:szCs w:val="22"/>
        </w:rPr>
        <w:t xml:space="preserve"> </w:t>
      </w:r>
      <w:r w:rsidR="00370DD1">
        <w:rPr>
          <w:sz w:val="22"/>
          <w:szCs w:val="22"/>
        </w:rPr>
        <w:t xml:space="preserve">Barings, </w:t>
      </w:r>
      <w:r w:rsidRPr="0000159C">
        <w:rPr>
          <w:sz w:val="22"/>
          <w:szCs w:val="22"/>
        </w:rPr>
        <w:t>and the Japanese Market in 1995.  Today we will focus on Portfolio Insurance a</w:t>
      </w:r>
      <w:r>
        <w:rPr>
          <w:sz w:val="22"/>
          <w:szCs w:val="22"/>
        </w:rPr>
        <w:t>nd the crash of 1987 and LTCM</w:t>
      </w:r>
      <w:r w:rsidR="00146B00">
        <w:rPr>
          <w:sz w:val="22"/>
          <w:szCs w:val="22"/>
        </w:rPr>
        <w:t xml:space="preserve"> and </w:t>
      </w:r>
      <w:r w:rsidR="00413AA0">
        <w:rPr>
          <w:sz w:val="22"/>
          <w:szCs w:val="22"/>
        </w:rPr>
        <w:t xml:space="preserve">if there is time, </w:t>
      </w:r>
      <w:r w:rsidR="00146B00">
        <w:rPr>
          <w:sz w:val="22"/>
          <w:szCs w:val="22"/>
        </w:rPr>
        <w:t>briefly discuss Barings</w:t>
      </w:r>
      <w:r>
        <w:rPr>
          <w:sz w:val="22"/>
          <w:szCs w:val="22"/>
        </w:rPr>
        <w:t>.</w:t>
      </w:r>
    </w:p>
    <w:p w:rsidR="00AF23C4" w:rsidRPr="0000159C" w:rsidRDefault="00AF23C4" w:rsidP="00AF23C4">
      <w:pPr>
        <w:pStyle w:val="BodyText2"/>
        <w:spacing w:after="120"/>
        <w:ind w:left="450" w:right="720" w:firstLine="0"/>
        <w:rPr>
          <w:sz w:val="22"/>
          <w:szCs w:val="22"/>
        </w:rPr>
      </w:pPr>
      <w:r w:rsidRPr="0000159C">
        <w:rPr>
          <w:sz w:val="22"/>
          <w:szCs w:val="22"/>
        </w:rPr>
        <w:t>Guest Speaker:</w:t>
      </w:r>
      <w:r w:rsidRPr="0000159C">
        <w:rPr>
          <w:sz w:val="22"/>
          <w:szCs w:val="22"/>
        </w:rPr>
        <w:tab/>
      </w:r>
      <w:r w:rsidR="003F0E08">
        <w:rPr>
          <w:sz w:val="22"/>
          <w:szCs w:val="22"/>
        </w:rPr>
        <w:t>Bud Kroll</w:t>
      </w:r>
    </w:p>
    <w:p w:rsidR="00AF23C4" w:rsidRPr="0000159C" w:rsidRDefault="00AF23C4" w:rsidP="00AF23C4">
      <w:pPr>
        <w:tabs>
          <w:tab w:val="left" w:pos="450"/>
        </w:tabs>
        <w:spacing w:after="0"/>
        <w:ind w:firstLine="446"/>
        <w:rPr>
          <w:rFonts w:ascii="Comic Sans MS" w:hAnsi="Comic Sans MS" w:cs="Comic Sans MS"/>
        </w:rPr>
      </w:pPr>
      <w:r w:rsidRPr="0000159C">
        <w:rPr>
          <w:rFonts w:ascii="Comic Sans MS" w:hAnsi="Comic Sans MS"/>
        </w:rPr>
        <w:tab/>
      </w:r>
      <w:r w:rsidRPr="0000159C">
        <w:rPr>
          <w:rFonts w:ascii="Comic Sans MS" w:hAnsi="Comic Sans MS" w:cs="Comic Sans MS"/>
        </w:rPr>
        <w:t>Readings:</w:t>
      </w:r>
    </w:p>
    <w:p w:rsidR="00AF23C4" w:rsidRPr="008E15F7" w:rsidRDefault="00AF23C4" w:rsidP="008E15F7">
      <w:pPr>
        <w:pStyle w:val="Header"/>
        <w:numPr>
          <w:ilvl w:val="0"/>
          <w:numId w:val="9"/>
        </w:numPr>
        <w:tabs>
          <w:tab w:val="clear" w:pos="2880"/>
          <w:tab w:val="clear" w:pos="4680"/>
          <w:tab w:val="clear" w:pos="9360"/>
          <w:tab w:val="left" w:pos="2100"/>
        </w:tabs>
        <w:overflowPunct w:val="0"/>
        <w:autoSpaceDE w:val="0"/>
        <w:autoSpaceDN w:val="0"/>
        <w:adjustRightInd w:val="0"/>
        <w:ind w:left="1080"/>
        <w:textAlignment w:val="baseline"/>
        <w:rPr>
          <w:rFonts w:ascii="Comic Sans MS" w:hAnsi="Comic Sans MS" w:cs="Comic Sans MS"/>
        </w:rPr>
      </w:pPr>
      <w:r w:rsidRPr="008E15F7">
        <w:rPr>
          <w:rFonts w:ascii="Comic Sans MS" w:hAnsi="Comic Sans MS" w:cs="Comic Sans MS"/>
        </w:rPr>
        <w:t xml:space="preserve">The Demons of </w:t>
      </w:r>
      <w:r w:rsidR="00A2156E" w:rsidRPr="008E15F7">
        <w:rPr>
          <w:rFonts w:ascii="Comic Sans MS" w:hAnsi="Comic Sans MS" w:cs="Comic Sans MS"/>
        </w:rPr>
        <w:t>’</w:t>
      </w:r>
      <w:r w:rsidRPr="008E15F7">
        <w:rPr>
          <w:rFonts w:ascii="Comic Sans MS" w:hAnsi="Comic Sans MS" w:cs="Comic Sans MS"/>
        </w:rPr>
        <w:t>87</w:t>
      </w:r>
      <w:r w:rsidR="00A2156E" w:rsidRPr="008E15F7">
        <w:rPr>
          <w:rFonts w:ascii="Comic Sans MS" w:hAnsi="Comic Sans MS" w:cs="Comic Sans MS"/>
        </w:rPr>
        <w:t xml:space="preserve"> - PDF</w:t>
      </w:r>
    </w:p>
    <w:p w:rsidR="00AF23C4" w:rsidRPr="001668A8" w:rsidRDefault="00B11C6D" w:rsidP="001668A8">
      <w:pPr>
        <w:pStyle w:val="Header"/>
        <w:numPr>
          <w:ilvl w:val="0"/>
          <w:numId w:val="9"/>
        </w:numPr>
        <w:tabs>
          <w:tab w:val="clear" w:pos="2880"/>
          <w:tab w:val="clear" w:pos="4680"/>
          <w:tab w:val="clear" w:pos="9360"/>
          <w:tab w:val="left" w:pos="2100"/>
        </w:tabs>
        <w:overflowPunct w:val="0"/>
        <w:autoSpaceDE w:val="0"/>
        <w:autoSpaceDN w:val="0"/>
        <w:adjustRightInd w:val="0"/>
        <w:ind w:left="1080"/>
        <w:textAlignment w:val="baseline"/>
        <w:rPr>
          <w:rFonts w:ascii="Comic Sans MS" w:hAnsi="Comic Sans MS" w:cs="Comic Sans MS"/>
        </w:rPr>
      </w:pPr>
      <w:hyperlink r:id="rId18" w:history="1">
        <w:r w:rsidR="00AF23C4" w:rsidRPr="001668A8">
          <w:rPr>
            <w:rFonts w:ascii="Comic Sans MS" w:hAnsi="Comic Sans MS" w:cs="Comic Sans MS"/>
          </w:rPr>
          <w:t>Leland O'Brien Rubenstein</w:t>
        </w:r>
      </w:hyperlink>
      <w:r w:rsidR="006E1F33" w:rsidRPr="001668A8">
        <w:rPr>
          <w:rFonts w:ascii="Comic Sans MS" w:hAnsi="Comic Sans MS" w:cs="Comic Sans MS"/>
        </w:rPr>
        <w:t xml:space="preserve"> (</w:t>
      </w:r>
      <w:hyperlink r:id="rId19" w:history="1">
        <w:r w:rsidR="001668A8" w:rsidRPr="001668A8">
          <w:rPr>
            <w:rFonts w:ascii="Comic Sans MS" w:hAnsi="Comic Sans MS" w:cs="Comic Sans MS"/>
            <w:u w:val="single"/>
          </w:rPr>
          <w:t>https://cb.hbsp.harvard.edu/cbmp/pl/73939248/73939254/486c646ee4d52211f55b351997f40be4</w:t>
        </w:r>
      </w:hyperlink>
      <w:r w:rsidR="006E1F33" w:rsidRPr="001668A8">
        <w:rPr>
          <w:rFonts w:ascii="Comic Sans MS" w:hAnsi="Comic Sans MS" w:cs="Comic Sans MS"/>
        </w:rPr>
        <w:t>)</w:t>
      </w:r>
      <w:r w:rsidR="001668A8">
        <w:rPr>
          <w:rFonts w:ascii="Comic Sans MS" w:hAnsi="Comic Sans MS" w:cs="Comic Sans MS"/>
        </w:rPr>
        <w:t xml:space="preserve"> </w:t>
      </w:r>
    </w:p>
    <w:p w:rsidR="001668A8" w:rsidRDefault="00AF23C4" w:rsidP="00D70A3F">
      <w:pPr>
        <w:pStyle w:val="Header"/>
        <w:numPr>
          <w:ilvl w:val="0"/>
          <w:numId w:val="9"/>
        </w:numPr>
        <w:tabs>
          <w:tab w:val="clear" w:pos="2880"/>
          <w:tab w:val="clear" w:pos="4680"/>
          <w:tab w:val="clear" w:pos="9360"/>
          <w:tab w:val="left" w:pos="2100"/>
        </w:tabs>
        <w:overflowPunct w:val="0"/>
        <w:autoSpaceDE w:val="0"/>
        <w:autoSpaceDN w:val="0"/>
        <w:adjustRightInd w:val="0"/>
        <w:ind w:left="1080"/>
        <w:textAlignment w:val="baseline"/>
        <w:rPr>
          <w:rFonts w:ascii="Comic Sans MS" w:hAnsi="Comic Sans MS" w:cs="Comic Sans MS"/>
        </w:rPr>
      </w:pPr>
      <w:r w:rsidRPr="001668A8">
        <w:rPr>
          <w:rFonts w:ascii="Comic Sans MS" w:hAnsi="Comic Sans MS" w:cs="Comic Sans MS"/>
        </w:rPr>
        <w:t>Long-Term Capital Management, L.P. (A, C, D)</w:t>
      </w:r>
      <w:r w:rsidR="006E1F33" w:rsidRPr="001668A8">
        <w:rPr>
          <w:rFonts w:ascii="Comic Sans MS" w:hAnsi="Comic Sans MS" w:cs="Comic Sans MS"/>
        </w:rPr>
        <w:br/>
        <w:t>(</w:t>
      </w:r>
      <w:hyperlink r:id="rId20" w:history="1">
        <w:r w:rsidR="001668A8" w:rsidRPr="001668A8">
          <w:rPr>
            <w:rFonts w:ascii="Comic Sans MS" w:hAnsi="Comic Sans MS" w:cs="Comic Sans MS"/>
            <w:u w:val="single"/>
          </w:rPr>
          <w:t>https://cb.hbsp.harvard.edu/cbmp/pl/73939248/73939258/6422118ee81e22b5504ebf0396ea0c6c</w:t>
        </w:r>
      </w:hyperlink>
      <w:r w:rsidR="001668A8" w:rsidRPr="001668A8">
        <w:rPr>
          <w:rFonts w:ascii="Comic Sans MS" w:hAnsi="Comic Sans MS" w:cs="Comic Sans MS"/>
        </w:rPr>
        <w:t>)</w:t>
      </w:r>
    </w:p>
    <w:p w:rsidR="001668A8" w:rsidRPr="001668A8" w:rsidRDefault="006E1F33" w:rsidP="00D70A3F">
      <w:pPr>
        <w:pStyle w:val="Header"/>
        <w:numPr>
          <w:ilvl w:val="0"/>
          <w:numId w:val="9"/>
        </w:numPr>
        <w:tabs>
          <w:tab w:val="clear" w:pos="2880"/>
          <w:tab w:val="clear" w:pos="4680"/>
          <w:tab w:val="clear" w:pos="9360"/>
          <w:tab w:val="left" w:pos="2100"/>
        </w:tabs>
        <w:overflowPunct w:val="0"/>
        <w:autoSpaceDE w:val="0"/>
        <w:autoSpaceDN w:val="0"/>
        <w:adjustRightInd w:val="0"/>
        <w:ind w:left="1080"/>
        <w:textAlignment w:val="baseline"/>
        <w:rPr>
          <w:rFonts w:ascii="Comic Sans MS" w:hAnsi="Comic Sans MS" w:cs="Comic Sans MS"/>
        </w:rPr>
      </w:pPr>
      <w:r w:rsidRPr="001668A8">
        <w:rPr>
          <w:rFonts w:ascii="Comic Sans MS" w:hAnsi="Comic Sans MS" w:cs="Comic Sans MS"/>
        </w:rPr>
        <w:lastRenderedPageBreak/>
        <w:t>(</w:t>
      </w:r>
      <w:hyperlink r:id="rId21" w:history="1">
        <w:r w:rsidR="001668A8" w:rsidRPr="001668A8">
          <w:rPr>
            <w:rFonts w:ascii="Comic Sans MS" w:hAnsi="Comic Sans MS" w:cs="Comic Sans MS"/>
            <w:u w:val="single"/>
          </w:rPr>
          <w:t>https://cb.hbsp.harvard.edu/cbmp/pl/73939248/73939262/ef7968b5b39a9c0eed40fa88b2099531</w:t>
        </w:r>
      </w:hyperlink>
      <w:r w:rsidR="001668A8" w:rsidRPr="001668A8">
        <w:rPr>
          <w:rFonts w:ascii="Comic Sans MS" w:hAnsi="Comic Sans MS" w:cs="Comic Sans MS"/>
        </w:rPr>
        <w:t>)</w:t>
      </w:r>
    </w:p>
    <w:p w:rsidR="00AF23C4" w:rsidRPr="001668A8" w:rsidRDefault="006E1F33" w:rsidP="001668A8">
      <w:pPr>
        <w:pStyle w:val="Header"/>
        <w:numPr>
          <w:ilvl w:val="0"/>
          <w:numId w:val="9"/>
        </w:numPr>
        <w:tabs>
          <w:tab w:val="clear" w:pos="2880"/>
          <w:tab w:val="clear" w:pos="4680"/>
          <w:tab w:val="clear" w:pos="9360"/>
          <w:tab w:val="left" w:pos="2100"/>
        </w:tabs>
        <w:overflowPunct w:val="0"/>
        <w:autoSpaceDE w:val="0"/>
        <w:autoSpaceDN w:val="0"/>
        <w:adjustRightInd w:val="0"/>
        <w:ind w:left="1080"/>
        <w:textAlignment w:val="baseline"/>
        <w:rPr>
          <w:rFonts w:ascii="Comic Sans MS" w:hAnsi="Comic Sans MS" w:cs="Comic Sans MS"/>
        </w:rPr>
      </w:pPr>
      <w:r w:rsidRPr="001668A8">
        <w:rPr>
          <w:rFonts w:ascii="Comic Sans MS" w:hAnsi="Comic Sans MS" w:cs="Comic Sans MS"/>
        </w:rPr>
        <w:t>(</w:t>
      </w:r>
      <w:hyperlink r:id="rId22" w:history="1">
        <w:r w:rsidR="001668A8" w:rsidRPr="001668A8">
          <w:rPr>
            <w:rFonts w:ascii="Comic Sans MS" w:hAnsi="Comic Sans MS" w:cs="Comic Sans MS"/>
            <w:u w:val="single"/>
          </w:rPr>
          <w:t>https://cb.hbsp.harvard.edu/cbmp/pl/73939248/73939266/ace374712d66b869b0dc06e8038bf1d0</w:t>
        </w:r>
      </w:hyperlink>
      <w:r w:rsidRPr="001668A8">
        <w:rPr>
          <w:rFonts w:ascii="Comic Sans MS" w:hAnsi="Comic Sans MS" w:cs="Comic Sans MS"/>
        </w:rPr>
        <w:t>)</w:t>
      </w:r>
    </w:p>
    <w:p w:rsidR="00AF23C4" w:rsidRPr="008E15F7" w:rsidRDefault="00AF23C4" w:rsidP="008E15F7">
      <w:pPr>
        <w:pStyle w:val="Header"/>
        <w:numPr>
          <w:ilvl w:val="0"/>
          <w:numId w:val="9"/>
        </w:numPr>
        <w:tabs>
          <w:tab w:val="clear" w:pos="2880"/>
          <w:tab w:val="clear" w:pos="4680"/>
          <w:tab w:val="clear" w:pos="9360"/>
          <w:tab w:val="left" w:pos="2100"/>
        </w:tabs>
        <w:overflowPunct w:val="0"/>
        <w:autoSpaceDE w:val="0"/>
        <w:autoSpaceDN w:val="0"/>
        <w:adjustRightInd w:val="0"/>
        <w:ind w:left="1080"/>
        <w:textAlignment w:val="baseline"/>
        <w:rPr>
          <w:rFonts w:ascii="Comic Sans MS" w:hAnsi="Comic Sans MS" w:cs="Comic Sans MS"/>
        </w:rPr>
      </w:pPr>
      <w:r w:rsidRPr="008E15F7">
        <w:rPr>
          <w:rFonts w:ascii="Comic Sans MS" w:hAnsi="Comic Sans MS" w:cs="Comic Sans MS"/>
        </w:rPr>
        <w:t>Bank of Volatility</w:t>
      </w:r>
      <w:r w:rsidR="005A137A" w:rsidRPr="008E15F7">
        <w:rPr>
          <w:rFonts w:ascii="Comic Sans MS" w:hAnsi="Comic Sans MS" w:cs="Comic Sans MS"/>
        </w:rPr>
        <w:t xml:space="preserve"> (</w:t>
      </w:r>
      <w:r w:rsidR="00A2156E" w:rsidRPr="008E15F7">
        <w:rPr>
          <w:rFonts w:ascii="Comic Sans MS" w:hAnsi="Comic Sans MS" w:cs="Comic Sans MS"/>
        </w:rPr>
        <w:t>PDF</w:t>
      </w:r>
      <w:r w:rsidR="005A137A" w:rsidRPr="008E15F7">
        <w:rPr>
          <w:rFonts w:ascii="Comic Sans MS" w:hAnsi="Comic Sans MS" w:cs="Comic Sans MS"/>
        </w:rPr>
        <w:t>)</w:t>
      </w:r>
      <w:r w:rsidR="009F5541">
        <w:rPr>
          <w:rFonts w:ascii="Comic Sans MS" w:hAnsi="Comic Sans MS" w:cs="Comic Sans MS"/>
        </w:rPr>
        <w:br/>
      </w:r>
    </w:p>
    <w:p w:rsidR="000B3780" w:rsidRPr="0000159C" w:rsidRDefault="000B3780" w:rsidP="000B3780">
      <w:pPr>
        <w:tabs>
          <w:tab w:val="left" w:pos="2070"/>
        </w:tabs>
        <w:spacing w:after="0" w:line="240" w:lineRule="auto"/>
        <w:ind w:left="360"/>
        <w:rPr>
          <w:rFonts w:ascii="Comic Sans MS" w:hAnsi="Comic Sans MS"/>
        </w:rPr>
      </w:pPr>
      <w:r w:rsidRPr="0000159C">
        <w:rPr>
          <w:rFonts w:ascii="Comic Sans MS" w:hAnsi="Comic Sans MS"/>
        </w:rPr>
        <w:t>Assignments:</w:t>
      </w:r>
    </w:p>
    <w:p w:rsidR="000B3780" w:rsidRPr="008E15F7" w:rsidRDefault="000B3780" w:rsidP="008E15F7">
      <w:pPr>
        <w:pStyle w:val="Header"/>
        <w:numPr>
          <w:ilvl w:val="0"/>
          <w:numId w:val="9"/>
        </w:numPr>
        <w:tabs>
          <w:tab w:val="clear" w:pos="2880"/>
          <w:tab w:val="clear" w:pos="4680"/>
          <w:tab w:val="clear" w:pos="9360"/>
          <w:tab w:val="left" w:pos="2100"/>
        </w:tabs>
        <w:overflowPunct w:val="0"/>
        <w:autoSpaceDE w:val="0"/>
        <w:autoSpaceDN w:val="0"/>
        <w:adjustRightInd w:val="0"/>
        <w:ind w:left="1080"/>
        <w:textAlignment w:val="baseline"/>
        <w:rPr>
          <w:rFonts w:ascii="Comic Sans MS" w:hAnsi="Comic Sans MS" w:cs="Comic Sans MS"/>
        </w:rPr>
      </w:pPr>
      <w:r w:rsidRPr="008E15F7">
        <w:rPr>
          <w:rFonts w:ascii="Comic Sans MS" w:hAnsi="Comic Sans MS" w:cs="Comic Sans MS"/>
        </w:rPr>
        <w:t>Assignment (</w:t>
      </w:r>
      <w:r w:rsidR="000950E9" w:rsidRPr="008E15F7">
        <w:rPr>
          <w:rFonts w:ascii="Comic Sans MS" w:hAnsi="Comic Sans MS" w:cs="Comic Sans MS"/>
        </w:rPr>
        <w:t>6</w:t>
      </w:r>
      <w:r w:rsidRPr="008E15F7">
        <w:rPr>
          <w:rFonts w:ascii="Comic Sans MS" w:hAnsi="Comic Sans MS" w:cs="Comic Sans MS"/>
        </w:rPr>
        <w:t xml:space="preserve">) – LOR/LTCM (Type </w:t>
      </w:r>
      <w:r w:rsidR="00072370" w:rsidRPr="008E15F7">
        <w:rPr>
          <w:rFonts w:ascii="Comic Sans MS" w:hAnsi="Comic Sans MS" w:cs="Comic Sans MS"/>
        </w:rPr>
        <w:t>A</w:t>
      </w:r>
      <w:r w:rsidRPr="008E15F7">
        <w:rPr>
          <w:rFonts w:ascii="Comic Sans MS" w:hAnsi="Comic Sans MS" w:cs="Comic Sans MS"/>
        </w:rPr>
        <w:t>)</w:t>
      </w:r>
      <w:r w:rsidR="008E15F7">
        <w:rPr>
          <w:rFonts w:ascii="Comic Sans MS" w:hAnsi="Comic Sans MS" w:cs="Comic Sans MS"/>
        </w:rPr>
        <w:br/>
      </w:r>
    </w:p>
    <w:p w:rsidR="00AF23C4" w:rsidRPr="0000159C" w:rsidRDefault="00AF23C4" w:rsidP="006F4BD6">
      <w:pPr>
        <w:keepNext/>
        <w:tabs>
          <w:tab w:val="left" w:pos="450"/>
        </w:tabs>
        <w:spacing w:after="120"/>
        <w:rPr>
          <w:rFonts w:ascii="Comic Sans MS" w:hAnsi="Comic Sans MS" w:cs="Comic Sans MS"/>
        </w:rPr>
      </w:pPr>
      <w:r w:rsidRPr="0000159C">
        <w:rPr>
          <w:rFonts w:ascii="Comic Sans MS" w:hAnsi="Comic Sans MS" w:cs="Comic Sans MS"/>
        </w:rPr>
        <w:t>2</w:t>
      </w:r>
      <w:r w:rsidR="00933E08">
        <w:rPr>
          <w:rFonts w:ascii="Comic Sans MS" w:hAnsi="Comic Sans MS" w:cs="Comic Sans MS"/>
        </w:rPr>
        <w:t>2</w:t>
      </w:r>
      <w:r>
        <w:rPr>
          <w:rFonts w:ascii="Comic Sans MS" w:hAnsi="Comic Sans MS" w:cs="Comic Sans MS"/>
        </w:rPr>
        <w:t>.</w:t>
      </w:r>
      <w:r>
        <w:rPr>
          <w:rFonts w:ascii="Comic Sans MS" w:hAnsi="Comic Sans MS" w:cs="Comic Sans MS"/>
        </w:rPr>
        <w:tab/>
        <w:t xml:space="preserve">Learning from Recent History </w:t>
      </w:r>
      <w:r w:rsidRPr="0000159C">
        <w:rPr>
          <w:rFonts w:ascii="Comic Sans MS" w:hAnsi="Comic Sans MS" w:cs="Comic Sans MS"/>
        </w:rPr>
        <w:t>(</w:t>
      </w:r>
      <w:r w:rsidR="009159E2">
        <w:rPr>
          <w:rFonts w:ascii="Comic Sans MS" w:hAnsi="Comic Sans MS" w:cs="Comic Sans MS"/>
        </w:rPr>
        <w:t>0</w:t>
      </w:r>
      <w:r w:rsidR="009159E2" w:rsidRPr="0000159C">
        <w:rPr>
          <w:rFonts w:ascii="Comic Sans MS" w:hAnsi="Comic Sans MS" w:cs="Comic Sans MS"/>
        </w:rPr>
        <w:t>4/</w:t>
      </w:r>
      <w:r w:rsidR="00B538BC">
        <w:rPr>
          <w:rFonts w:ascii="Comic Sans MS" w:hAnsi="Comic Sans MS" w:cs="Comic Sans MS"/>
        </w:rPr>
        <w:t>1</w:t>
      </w:r>
      <w:r w:rsidR="00933E08">
        <w:rPr>
          <w:rFonts w:ascii="Comic Sans MS" w:hAnsi="Comic Sans MS" w:cs="Comic Sans MS"/>
        </w:rPr>
        <w:t>8</w:t>
      </w:r>
      <w:r w:rsidRPr="0000159C">
        <w:rPr>
          <w:rFonts w:ascii="Comic Sans MS" w:hAnsi="Comic Sans MS" w:cs="Comic Sans MS"/>
        </w:rPr>
        <w:t>)</w:t>
      </w:r>
    </w:p>
    <w:p w:rsidR="00AF23C4" w:rsidRDefault="00AF23C4" w:rsidP="00AF23C4">
      <w:pPr>
        <w:pStyle w:val="BodyText2"/>
        <w:spacing w:after="120"/>
        <w:ind w:left="450" w:right="720" w:firstLine="0"/>
        <w:rPr>
          <w:sz w:val="22"/>
          <w:szCs w:val="22"/>
        </w:rPr>
      </w:pPr>
      <w:r>
        <w:rPr>
          <w:sz w:val="22"/>
          <w:szCs w:val="22"/>
        </w:rPr>
        <w:t xml:space="preserve">In this class we will discuss events in 2008, the Flash Crash of 2010, and the ETF Mini-Crash on August 24, 2015.  </w:t>
      </w:r>
    </w:p>
    <w:p w:rsidR="003E786E" w:rsidRPr="0000159C" w:rsidRDefault="003E786E" w:rsidP="002E51D0">
      <w:pPr>
        <w:keepNext/>
        <w:tabs>
          <w:tab w:val="left" w:pos="450"/>
        </w:tabs>
        <w:spacing w:after="0"/>
        <w:ind w:firstLine="446"/>
        <w:rPr>
          <w:rFonts w:ascii="Comic Sans MS" w:hAnsi="Comic Sans MS" w:cs="Comic Sans MS"/>
        </w:rPr>
      </w:pPr>
      <w:r w:rsidRPr="0000159C">
        <w:rPr>
          <w:rFonts w:ascii="Comic Sans MS" w:hAnsi="Comic Sans MS" w:cs="Comic Sans MS"/>
        </w:rPr>
        <w:t>Readings:</w:t>
      </w:r>
    </w:p>
    <w:p w:rsidR="00DC279B" w:rsidRPr="003205A5" w:rsidRDefault="00B11C6D" w:rsidP="009F5541">
      <w:pPr>
        <w:pStyle w:val="Header"/>
        <w:numPr>
          <w:ilvl w:val="0"/>
          <w:numId w:val="9"/>
        </w:numPr>
        <w:tabs>
          <w:tab w:val="clear" w:pos="2880"/>
          <w:tab w:val="clear" w:pos="4680"/>
          <w:tab w:val="clear" w:pos="9360"/>
          <w:tab w:val="left" w:pos="2100"/>
        </w:tabs>
        <w:overflowPunct w:val="0"/>
        <w:autoSpaceDE w:val="0"/>
        <w:autoSpaceDN w:val="0"/>
        <w:adjustRightInd w:val="0"/>
        <w:ind w:left="1080"/>
        <w:textAlignment w:val="baseline"/>
        <w:rPr>
          <w:rFonts w:ascii="Comic Sans MS" w:hAnsi="Comic Sans MS" w:cs="Comic Sans MS"/>
          <w:u w:val="single"/>
        </w:rPr>
      </w:pPr>
      <w:hyperlink r:id="rId23" w:history="1">
        <w:r w:rsidR="00DC279B" w:rsidRPr="009F5541">
          <w:rPr>
            <w:rFonts w:ascii="Comic Sans MS" w:hAnsi="Comic Sans MS" w:cs="Comic Sans MS"/>
          </w:rPr>
          <w:t>Findings Regarding the Market Events of May 6, 2010</w:t>
        </w:r>
      </w:hyperlink>
      <w:r w:rsidR="00DC279B" w:rsidRPr="009F5541">
        <w:rPr>
          <w:rFonts w:ascii="Comic Sans MS" w:hAnsi="Comic Sans MS" w:cs="Comic Sans MS"/>
        </w:rPr>
        <w:t xml:space="preserve"> (CFTC &amp; SEC), Executive Summary only, pp. 1-8 </w:t>
      </w:r>
      <w:r w:rsidR="00DC279B" w:rsidRPr="003205A5">
        <w:rPr>
          <w:rFonts w:ascii="Comic Sans MS" w:hAnsi="Comic Sans MS" w:cs="Comic Sans MS"/>
          <w:u w:val="single"/>
        </w:rPr>
        <w:t>(</w:t>
      </w:r>
      <w:hyperlink r:id="rId24" w:history="1">
        <w:r w:rsidR="00DC279B" w:rsidRPr="003205A5">
          <w:rPr>
            <w:rFonts w:ascii="Comic Sans MS" w:hAnsi="Comic Sans MS" w:cs="Comic Sans MS"/>
            <w:u w:val="single"/>
          </w:rPr>
          <w:t>http://www.cftc.gov/idc/groups/public/@otherif/documents/ifdocs/staff-findings050610.pdf</w:t>
        </w:r>
      </w:hyperlink>
      <w:r w:rsidR="00DC279B" w:rsidRPr="003205A5">
        <w:rPr>
          <w:rFonts w:ascii="Comic Sans MS" w:hAnsi="Comic Sans MS" w:cs="Comic Sans MS"/>
          <w:u w:val="single"/>
        </w:rPr>
        <w:t>)</w:t>
      </w:r>
    </w:p>
    <w:p w:rsidR="003E786E" w:rsidRPr="008E15F7" w:rsidRDefault="003E786E" w:rsidP="008E15F7">
      <w:pPr>
        <w:pStyle w:val="Header"/>
        <w:numPr>
          <w:ilvl w:val="0"/>
          <w:numId w:val="9"/>
        </w:numPr>
        <w:tabs>
          <w:tab w:val="clear" w:pos="2880"/>
          <w:tab w:val="clear" w:pos="4680"/>
          <w:tab w:val="clear" w:pos="9360"/>
          <w:tab w:val="left" w:pos="2100"/>
        </w:tabs>
        <w:overflowPunct w:val="0"/>
        <w:autoSpaceDE w:val="0"/>
        <w:autoSpaceDN w:val="0"/>
        <w:adjustRightInd w:val="0"/>
        <w:ind w:left="1080"/>
        <w:textAlignment w:val="baseline"/>
        <w:rPr>
          <w:rFonts w:ascii="Comic Sans MS" w:hAnsi="Comic Sans MS" w:cs="Comic Sans MS"/>
        </w:rPr>
      </w:pPr>
      <w:r w:rsidRPr="008E15F7">
        <w:rPr>
          <w:rFonts w:ascii="Comic Sans MS" w:hAnsi="Comic Sans MS" w:cs="Comic Sans MS"/>
        </w:rPr>
        <w:t>Enhancing Our Equity Market Structure (White, Mary Jo)</w:t>
      </w:r>
      <w:r w:rsidR="00F16F3C" w:rsidRPr="008E15F7">
        <w:rPr>
          <w:rFonts w:ascii="Comic Sans MS" w:hAnsi="Comic Sans MS" w:cs="Comic Sans MS"/>
        </w:rPr>
        <w:t xml:space="preserve"> (LR)</w:t>
      </w:r>
    </w:p>
    <w:p w:rsidR="007312BB" w:rsidRPr="008E15F7" w:rsidRDefault="007312BB" w:rsidP="008E15F7">
      <w:pPr>
        <w:pStyle w:val="Header"/>
        <w:numPr>
          <w:ilvl w:val="0"/>
          <w:numId w:val="9"/>
        </w:numPr>
        <w:tabs>
          <w:tab w:val="clear" w:pos="2880"/>
          <w:tab w:val="clear" w:pos="4680"/>
          <w:tab w:val="clear" w:pos="9360"/>
          <w:tab w:val="left" w:pos="2100"/>
        </w:tabs>
        <w:overflowPunct w:val="0"/>
        <w:autoSpaceDE w:val="0"/>
        <w:autoSpaceDN w:val="0"/>
        <w:adjustRightInd w:val="0"/>
        <w:ind w:left="1080"/>
        <w:textAlignment w:val="baseline"/>
        <w:rPr>
          <w:rFonts w:ascii="Comic Sans MS" w:hAnsi="Comic Sans MS" w:cs="Comic Sans MS"/>
        </w:rPr>
      </w:pPr>
      <w:r w:rsidRPr="008E15F7">
        <w:rPr>
          <w:rFonts w:ascii="Comic Sans MS" w:hAnsi="Comic Sans MS" w:cs="Comic Sans MS"/>
        </w:rPr>
        <w:t>From Free Lunch to Black Hole: Credit Default Swaps at AIG</w:t>
      </w:r>
      <w:r w:rsidR="000F100E" w:rsidRPr="008E15F7">
        <w:rPr>
          <w:rFonts w:ascii="Comic Sans MS" w:hAnsi="Comic Sans MS" w:cs="Comic Sans MS"/>
        </w:rPr>
        <w:t xml:space="preserve"> (PDF)</w:t>
      </w:r>
      <w:r w:rsidR="009F5541">
        <w:rPr>
          <w:rFonts w:ascii="Comic Sans MS" w:hAnsi="Comic Sans MS" w:cs="Comic Sans MS"/>
        </w:rPr>
        <w:br/>
      </w:r>
    </w:p>
    <w:p w:rsidR="003E786E" w:rsidRPr="0000159C" w:rsidRDefault="003E786E" w:rsidP="003E786E">
      <w:pPr>
        <w:tabs>
          <w:tab w:val="left" w:pos="2070"/>
        </w:tabs>
        <w:spacing w:after="0" w:line="240" w:lineRule="auto"/>
        <w:ind w:left="360"/>
        <w:rPr>
          <w:rFonts w:ascii="Comic Sans MS" w:hAnsi="Comic Sans MS"/>
        </w:rPr>
      </w:pPr>
      <w:r w:rsidRPr="0000159C">
        <w:rPr>
          <w:rFonts w:ascii="Comic Sans MS" w:hAnsi="Comic Sans MS"/>
        </w:rPr>
        <w:t>Assignments:</w:t>
      </w:r>
    </w:p>
    <w:p w:rsidR="003E786E" w:rsidRPr="008E15F7" w:rsidRDefault="003E786E" w:rsidP="008E15F7">
      <w:pPr>
        <w:pStyle w:val="Header"/>
        <w:numPr>
          <w:ilvl w:val="0"/>
          <w:numId w:val="9"/>
        </w:numPr>
        <w:tabs>
          <w:tab w:val="clear" w:pos="2880"/>
          <w:tab w:val="clear" w:pos="4680"/>
          <w:tab w:val="clear" w:pos="9360"/>
          <w:tab w:val="left" w:pos="2100"/>
        </w:tabs>
        <w:overflowPunct w:val="0"/>
        <w:autoSpaceDE w:val="0"/>
        <w:autoSpaceDN w:val="0"/>
        <w:adjustRightInd w:val="0"/>
        <w:ind w:left="1080"/>
        <w:textAlignment w:val="baseline"/>
        <w:rPr>
          <w:rFonts w:ascii="Comic Sans MS" w:hAnsi="Comic Sans MS" w:cs="Comic Sans MS"/>
        </w:rPr>
      </w:pPr>
      <w:r w:rsidRPr="008E15F7">
        <w:rPr>
          <w:rFonts w:ascii="Comic Sans MS" w:hAnsi="Comic Sans MS" w:cs="Comic Sans MS"/>
        </w:rPr>
        <w:t>Assignment (</w:t>
      </w:r>
      <w:r w:rsidR="000950E9" w:rsidRPr="008E15F7">
        <w:rPr>
          <w:rFonts w:ascii="Comic Sans MS" w:hAnsi="Comic Sans MS" w:cs="Comic Sans MS"/>
        </w:rPr>
        <w:t>7</w:t>
      </w:r>
      <w:r w:rsidRPr="008E15F7">
        <w:rPr>
          <w:rFonts w:ascii="Comic Sans MS" w:hAnsi="Comic Sans MS" w:cs="Comic Sans MS"/>
        </w:rPr>
        <w:t xml:space="preserve">) – Flash Crash Questions (Type </w:t>
      </w:r>
      <w:r w:rsidR="00146B00" w:rsidRPr="008E15F7">
        <w:rPr>
          <w:rFonts w:ascii="Comic Sans MS" w:hAnsi="Comic Sans MS" w:cs="Comic Sans MS"/>
        </w:rPr>
        <w:t>A</w:t>
      </w:r>
      <w:r w:rsidRPr="008E15F7">
        <w:rPr>
          <w:rFonts w:ascii="Comic Sans MS" w:hAnsi="Comic Sans MS" w:cs="Comic Sans MS"/>
        </w:rPr>
        <w:t>)</w:t>
      </w:r>
      <w:r w:rsidR="008E15F7">
        <w:rPr>
          <w:rFonts w:ascii="Comic Sans MS" w:hAnsi="Comic Sans MS" w:cs="Comic Sans MS"/>
        </w:rPr>
        <w:br/>
      </w:r>
    </w:p>
    <w:p w:rsidR="00155D35" w:rsidRPr="0000159C" w:rsidRDefault="00155D35" w:rsidP="00434A56">
      <w:pPr>
        <w:tabs>
          <w:tab w:val="left" w:pos="450"/>
        </w:tabs>
        <w:spacing w:after="120"/>
        <w:rPr>
          <w:rFonts w:ascii="Comic Sans MS" w:hAnsi="Comic Sans MS" w:cs="Comic Sans MS"/>
        </w:rPr>
      </w:pPr>
      <w:r w:rsidRPr="0000159C">
        <w:rPr>
          <w:rFonts w:ascii="Comic Sans MS" w:hAnsi="Comic Sans MS" w:cs="Comic Sans MS"/>
        </w:rPr>
        <w:t>2</w:t>
      </w:r>
      <w:r w:rsidR="00075A9B">
        <w:rPr>
          <w:rFonts w:ascii="Comic Sans MS" w:hAnsi="Comic Sans MS" w:cs="Comic Sans MS"/>
        </w:rPr>
        <w:t>3</w:t>
      </w:r>
      <w:r w:rsidRPr="0000159C">
        <w:rPr>
          <w:rFonts w:ascii="Comic Sans MS" w:hAnsi="Comic Sans MS" w:cs="Comic Sans MS"/>
        </w:rPr>
        <w:t xml:space="preserve"> &amp; 2</w:t>
      </w:r>
      <w:r w:rsidR="00075A9B">
        <w:rPr>
          <w:rFonts w:ascii="Comic Sans MS" w:hAnsi="Comic Sans MS" w:cs="Comic Sans MS"/>
        </w:rPr>
        <w:t>4</w:t>
      </w:r>
      <w:r w:rsidR="00FC7C87">
        <w:rPr>
          <w:rFonts w:ascii="Comic Sans MS" w:hAnsi="Comic Sans MS" w:cs="Comic Sans MS"/>
        </w:rPr>
        <w:t>. Final Project</w:t>
      </w:r>
      <w:r w:rsidR="0083277E">
        <w:rPr>
          <w:rFonts w:ascii="Comic Sans MS" w:hAnsi="Comic Sans MS" w:cs="Comic Sans MS"/>
        </w:rPr>
        <w:t xml:space="preserve"> </w:t>
      </w:r>
      <w:r w:rsidRPr="0000159C">
        <w:rPr>
          <w:rFonts w:ascii="Comic Sans MS" w:hAnsi="Comic Sans MS" w:cs="Comic Sans MS"/>
        </w:rPr>
        <w:t>(</w:t>
      </w:r>
      <w:r w:rsidR="009159E2">
        <w:rPr>
          <w:rFonts w:ascii="Comic Sans MS" w:hAnsi="Comic Sans MS" w:cs="Comic Sans MS"/>
        </w:rPr>
        <w:t>0</w:t>
      </w:r>
      <w:r w:rsidR="009159E2" w:rsidRPr="0000159C">
        <w:rPr>
          <w:rFonts w:ascii="Comic Sans MS" w:hAnsi="Comic Sans MS" w:cs="Comic Sans MS"/>
        </w:rPr>
        <w:t>4/</w:t>
      </w:r>
      <w:r w:rsidR="009159E2">
        <w:rPr>
          <w:rFonts w:ascii="Comic Sans MS" w:hAnsi="Comic Sans MS" w:cs="Comic Sans MS"/>
        </w:rPr>
        <w:t>2</w:t>
      </w:r>
      <w:r w:rsidR="00B538BC">
        <w:rPr>
          <w:rFonts w:ascii="Comic Sans MS" w:hAnsi="Comic Sans MS" w:cs="Comic Sans MS"/>
        </w:rPr>
        <w:t>3</w:t>
      </w:r>
      <w:r w:rsidR="009159E2">
        <w:rPr>
          <w:rFonts w:ascii="Comic Sans MS" w:hAnsi="Comic Sans MS" w:cs="Comic Sans MS"/>
        </w:rPr>
        <w:t xml:space="preserve"> &amp; </w:t>
      </w:r>
      <w:r w:rsidR="00F802A7">
        <w:rPr>
          <w:rFonts w:ascii="Comic Sans MS" w:hAnsi="Comic Sans MS" w:cs="Comic Sans MS"/>
        </w:rPr>
        <w:t>0</w:t>
      </w:r>
      <w:r w:rsidR="000A384C" w:rsidRPr="0000159C">
        <w:rPr>
          <w:rFonts w:ascii="Comic Sans MS" w:hAnsi="Comic Sans MS" w:cs="Comic Sans MS"/>
        </w:rPr>
        <w:t>4/</w:t>
      </w:r>
      <w:r w:rsidR="008D2DBC">
        <w:rPr>
          <w:rFonts w:ascii="Comic Sans MS" w:hAnsi="Comic Sans MS" w:cs="Comic Sans MS"/>
        </w:rPr>
        <w:t>2</w:t>
      </w:r>
      <w:r w:rsidR="00B538BC">
        <w:rPr>
          <w:rFonts w:ascii="Comic Sans MS" w:hAnsi="Comic Sans MS" w:cs="Comic Sans MS"/>
        </w:rPr>
        <w:t>5</w:t>
      </w:r>
      <w:r w:rsidRPr="0000159C">
        <w:rPr>
          <w:rFonts w:ascii="Comic Sans MS" w:hAnsi="Comic Sans MS" w:cs="Comic Sans MS"/>
        </w:rPr>
        <w:t>)</w:t>
      </w:r>
    </w:p>
    <w:p w:rsidR="00705085" w:rsidRPr="0000159C" w:rsidRDefault="00155D35" w:rsidP="00434A56">
      <w:pPr>
        <w:pStyle w:val="BodyText2"/>
        <w:spacing w:after="120"/>
        <w:ind w:left="450" w:right="720" w:firstLine="0"/>
        <w:rPr>
          <w:sz w:val="22"/>
          <w:szCs w:val="22"/>
        </w:rPr>
      </w:pPr>
      <w:r w:rsidRPr="0000159C">
        <w:rPr>
          <w:sz w:val="22"/>
          <w:szCs w:val="22"/>
        </w:rPr>
        <w:t>Each group will be asked to present their Final Project to the class and their Advisor, followed by a brief discussion by the Advisor.</w:t>
      </w:r>
    </w:p>
    <w:sectPr w:rsidR="00705085" w:rsidRPr="0000159C" w:rsidSect="00312B2D">
      <w:type w:val="continuous"/>
      <w:pgSz w:w="12240" w:h="15840" w:code="1"/>
      <w:pgMar w:top="144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C6D" w:rsidRDefault="00B11C6D" w:rsidP="00934BFC">
      <w:pPr>
        <w:spacing w:after="0" w:line="240" w:lineRule="auto"/>
      </w:pPr>
      <w:r>
        <w:separator/>
      </w:r>
    </w:p>
  </w:endnote>
  <w:endnote w:type="continuationSeparator" w:id="0">
    <w:p w:rsidR="00B11C6D" w:rsidRDefault="00B11C6D" w:rsidP="0093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42D" w:rsidRDefault="00CA642D">
    <w:pPr>
      <w:pStyle w:val="Footer"/>
    </w:pPr>
    <w:r>
      <w:t xml:space="preserve">Page </w:t>
    </w:r>
    <w:r w:rsidR="00E72572">
      <w:rPr>
        <w:b/>
      </w:rPr>
      <w:fldChar w:fldCharType="begin"/>
    </w:r>
    <w:r>
      <w:rPr>
        <w:b/>
      </w:rPr>
      <w:instrText xml:space="preserve"> PAGE  \* Arabic  \* MERGEFORMAT </w:instrText>
    </w:r>
    <w:r w:rsidR="00E72572">
      <w:rPr>
        <w:b/>
      </w:rPr>
      <w:fldChar w:fldCharType="separate"/>
    </w:r>
    <w:r w:rsidR="00CB5167">
      <w:rPr>
        <w:b/>
        <w:noProof/>
      </w:rPr>
      <w:t>1</w:t>
    </w:r>
    <w:r w:rsidR="00E72572">
      <w:rPr>
        <w:b/>
      </w:rPr>
      <w:fldChar w:fldCharType="end"/>
    </w:r>
    <w:r>
      <w:t xml:space="preserve"> of </w:t>
    </w:r>
    <w:fldSimple w:instr=" NUMPAGES  \* Arabic  \* MERGEFORMAT ">
      <w:r w:rsidR="00CB5167" w:rsidRPr="00CB5167">
        <w:rPr>
          <w:b/>
          <w:noProof/>
        </w:rPr>
        <w:t>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C6D" w:rsidRDefault="00B11C6D" w:rsidP="00934BFC">
      <w:pPr>
        <w:spacing w:after="0" w:line="240" w:lineRule="auto"/>
      </w:pPr>
      <w:r>
        <w:separator/>
      </w:r>
    </w:p>
  </w:footnote>
  <w:footnote w:type="continuationSeparator" w:id="0">
    <w:p w:rsidR="00B11C6D" w:rsidRDefault="00B11C6D" w:rsidP="00934B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42D" w:rsidRPr="00102A1F" w:rsidRDefault="00CA642D" w:rsidP="00C15C73">
    <w:pPr>
      <w:pStyle w:val="Header"/>
      <w:tabs>
        <w:tab w:val="clear" w:pos="9360"/>
        <w:tab w:val="right" w:pos="4680"/>
        <w:tab w:val="right" w:pos="10080"/>
      </w:tabs>
      <w:jc w:val="both"/>
      <w:rPr>
        <w:color w:val="808080" w:themeColor="background1" w:themeShade="80"/>
      </w:rPr>
    </w:pPr>
    <w:r>
      <w:rPr>
        <w:noProof/>
      </w:rPr>
      <w:ptab w:relativeTo="margin" w:alignment="left" w:leader="none"/>
    </w:r>
    <w:r>
      <w:rPr>
        <w:noProof/>
      </w:rPr>
      <w:drawing>
        <wp:inline distT="0" distB="0" distL="0" distR="0" wp14:anchorId="1D18F024" wp14:editId="60C15D88">
          <wp:extent cx="2103120" cy="24468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r>
      <w:rPr>
        <w:noProof/>
      </w:rPr>
      <w:tab/>
    </w:r>
    <w:r>
      <w:rPr>
        <w:noProof/>
      </w:rPr>
      <w:tab/>
    </w:r>
    <w:r w:rsidRPr="00102A1F">
      <w:rPr>
        <w:noProof/>
        <w:color w:val="808080" w:themeColor="background1" w:themeShade="80"/>
      </w:rPr>
      <w:t xml:space="preserve">Revised </w:t>
    </w:r>
    <w:r w:rsidR="00B538BC">
      <w:rPr>
        <w:noProof/>
        <w:color w:val="808080" w:themeColor="background1" w:themeShade="80"/>
      </w:rPr>
      <w:fldChar w:fldCharType="begin"/>
    </w:r>
    <w:r w:rsidR="00B538BC">
      <w:rPr>
        <w:noProof/>
        <w:color w:val="808080" w:themeColor="background1" w:themeShade="80"/>
      </w:rPr>
      <w:instrText xml:space="preserve"> DATE \@ "MMMM d, yyyy" </w:instrText>
    </w:r>
    <w:r w:rsidR="00B538BC">
      <w:rPr>
        <w:noProof/>
        <w:color w:val="808080" w:themeColor="background1" w:themeShade="80"/>
      </w:rPr>
      <w:fldChar w:fldCharType="separate"/>
    </w:r>
    <w:r w:rsidR="003F6E34">
      <w:rPr>
        <w:noProof/>
        <w:color w:val="808080" w:themeColor="background1" w:themeShade="80"/>
      </w:rPr>
      <w:t>April 16, 2018</w:t>
    </w:r>
    <w:r w:rsidR="00B538BC">
      <w:rPr>
        <w:noProof/>
        <w:color w:val="808080" w:themeColor="background1" w:themeShade="8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51556A"/>
    <w:multiLevelType w:val="hybridMultilevel"/>
    <w:tmpl w:val="D9983C1E"/>
    <w:lvl w:ilvl="0" w:tplc="04090001">
      <w:start w:val="1"/>
      <w:numFmt w:val="bullet"/>
      <w:lvlText w:val=""/>
      <w:lvlJc w:val="left"/>
      <w:pPr>
        <w:tabs>
          <w:tab w:val="num" w:pos="2160"/>
        </w:tabs>
        <w:ind w:left="216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2" w15:restartNumberingAfterBreak="0">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60295D"/>
    <w:multiLevelType w:val="hybridMultilevel"/>
    <w:tmpl w:val="28D034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7801B5"/>
    <w:multiLevelType w:val="hybridMultilevel"/>
    <w:tmpl w:val="DA404AAC"/>
    <w:lvl w:ilvl="0" w:tplc="04090001">
      <w:start w:val="1"/>
      <w:numFmt w:val="bullet"/>
      <w:lvlText w:val=""/>
      <w:lvlJc w:val="left"/>
      <w:pPr>
        <w:tabs>
          <w:tab w:val="num" w:pos="2160"/>
        </w:tabs>
        <w:ind w:left="216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6" w15:restartNumberingAfterBreak="0">
    <w:nsid w:val="2FAE6484"/>
    <w:multiLevelType w:val="hybridMultilevel"/>
    <w:tmpl w:val="486E0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8FAB196">
      <w:start w:val="1"/>
      <w:numFmt w:val="bullet"/>
      <w:lvlText w:val=""/>
      <w:lvlJc w:val="left"/>
      <w:pPr>
        <w:ind w:left="2880" w:hanging="360"/>
      </w:pPr>
      <w:rPr>
        <w:rFonts w:ascii="Symbol" w:hAnsi="Symbol" w:hint="default"/>
        <w:sz w:val="22"/>
        <w:szCs w:val="22"/>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974AE9"/>
    <w:multiLevelType w:val="hybridMultilevel"/>
    <w:tmpl w:val="258E314A"/>
    <w:lvl w:ilvl="0" w:tplc="04090001">
      <w:start w:val="1"/>
      <w:numFmt w:val="bullet"/>
      <w:lvlText w:val=""/>
      <w:lvlJc w:val="left"/>
      <w:pPr>
        <w:tabs>
          <w:tab w:val="num" w:pos="2880"/>
        </w:tabs>
        <w:ind w:left="2880" w:hanging="360"/>
      </w:pPr>
      <w:rPr>
        <w:rFonts w:ascii="Symbol" w:hAnsi="Symbol" w:cs="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cs="Wingdings" w:hint="default"/>
      </w:rPr>
    </w:lvl>
    <w:lvl w:ilvl="3" w:tplc="04090001">
      <w:start w:val="1"/>
      <w:numFmt w:val="bullet"/>
      <w:lvlText w:val=""/>
      <w:lvlJc w:val="left"/>
      <w:pPr>
        <w:tabs>
          <w:tab w:val="num" w:pos="5040"/>
        </w:tabs>
        <w:ind w:left="5040" w:hanging="360"/>
      </w:pPr>
      <w:rPr>
        <w:rFonts w:ascii="Symbol" w:hAnsi="Symbol" w:cs="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cs="Wingdings" w:hint="default"/>
      </w:rPr>
    </w:lvl>
    <w:lvl w:ilvl="6" w:tplc="04090001">
      <w:start w:val="1"/>
      <w:numFmt w:val="bullet"/>
      <w:lvlText w:val=""/>
      <w:lvlJc w:val="left"/>
      <w:pPr>
        <w:tabs>
          <w:tab w:val="num" w:pos="7200"/>
        </w:tabs>
        <w:ind w:left="7200" w:hanging="360"/>
      </w:pPr>
      <w:rPr>
        <w:rFonts w:ascii="Symbol" w:hAnsi="Symbol" w:cs="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cs="Wingdings" w:hint="default"/>
      </w:rPr>
    </w:lvl>
  </w:abstractNum>
  <w:abstractNum w:abstractNumId="8" w15:restartNumberingAfterBreak="0">
    <w:nsid w:val="3FB556E4"/>
    <w:multiLevelType w:val="hybridMultilevel"/>
    <w:tmpl w:val="AE2070D6"/>
    <w:lvl w:ilvl="0" w:tplc="541E69D0">
      <w:start w:val="1"/>
      <w:numFmt w:val="decimal"/>
      <w:lvlText w:val="%1."/>
      <w:lvlJc w:val="left"/>
      <w:pPr>
        <w:ind w:left="360" w:hanging="360"/>
      </w:pPr>
      <w:rPr>
        <w:b w:val="0"/>
        <w:sz w:val="24"/>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8A0C53"/>
    <w:multiLevelType w:val="hybridMultilevel"/>
    <w:tmpl w:val="ACA4C45E"/>
    <w:lvl w:ilvl="0" w:tplc="04090001">
      <w:start w:val="1"/>
      <w:numFmt w:val="bullet"/>
      <w:lvlText w:val=""/>
      <w:lvlJc w:val="left"/>
      <w:pPr>
        <w:tabs>
          <w:tab w:val="num" w:pos="2160"/>
        </w:tabs>
        <w:ind w:left="216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0" w15:restartNumberingAfterBreak="0">
    <w:nsid w:val="489F3910"/>
    <w:multiLevelType w:val="hybridMultilevel"/>
    <w:tmpl w:val="33244042"/>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cs="Wingdings" w:hint="default"/>
      </w:rPr>
    </w:lvl>
    <w:lvl w:ilvl="3" w:tplc="04090001">
      <w:start w:val="1"/>
      <w:numFmt w:val="bullet"/>
      <w:lvlText w:val=""/>
      <w:lvlJc w:val="left"/>
      <w:pPr>
        <w:tabs>
          <w:tab w:val="num" w:pos="5040"/>
        </w:tabs>
        <w:ind w:left="5040" w:hanging="360"/>
      </w:pPr>
      <w:rPr>
        <w:rFonts w:ascii="Symbol" w:hAnsi="Symbol" w:cs="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cs="Wingdings" w:hint="default"/>
      </w:rPr>
    </w:lvl>
    <w:lvl w:ilvl="6" w:tplc="04090001">
      <w:start w:val="1"/>
      <w:numFmt w:val="bullet"/>
      <w:lvlText w:val=""/>
      <w:lvlJc w:val="left"/>
      <w:pPr>
        <w:tabs>
          <w:tab w:val="num" w:pos="7200"/>
        </w:tabs>
        <w:ind w:left="7200" w:hanging="360"/>
      </w:pPr>
      <w:rPr>
        <w:rFonts w:ascii="Symbol" w:hAnsi="Symbol" w:cs="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cs="Wingdings" w:hint="default"/>
      </w:rPr>
    </w:lvl>
  </w:abstractNum>
  <w:abstractNum w:abstractNumId="11" w15:restartNumberingAfterBreak="0">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E9072B"/>
    <w:multiLevelType w:val="hybridMultilevel"/>
    <w:tmpl w:val="F4D8B3C4"/>
    <w:lvl w:ilvl="0" w:tplc="04090001">
      <w:start w:val="1"/>
      <w:numFmt w:val="bullet"/>
      <w:lvlText w:val=""/>
      <w:lvlJc w:val="left"/>
      <w:pPr>
        <w:tabs>
          <w:tab w:val="num" w:pos="1800"/>
        </w:tabs>
        <w:ind w:left="1800" w:hanging="360"/>
      </w:pPr>
      <w:rPr>
        <w:rFonts w:ascii="Symbol" w:hAnsi="Symbol" w:cs="Symbol" w:hint="default"/>
      </w:rPr>
    </w:lvl>
    <w:lvl w:ilvl="1" w:tplc="357E7B42">
      <w:start w:val="1"/>
      <w:numFmt w:val="bullet"/>
      <w:lvlText w:val=""/>
      <w:lvlJc w:val="left"/>
      <w:pPr>
        <w:tabs>
          <w:tab w:val="num" w:pos="1440"/>
        </w:tabs>
        <w:ind w:left="1440" w:hanging="360"/>
      </w:pPr>
      <w:rPr>
        <w:rFonts w:ascii="Symbol" w:hAnsi="Symbol" w:cs="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1"/>
  </w:num>
  <w:num w:numId="5">
    <w:abstractNumId w:val="12"/>
  </w:num>
  <w:num w:numId="6">
    <w:abstractNumId w:val="1"/>
  </w:num>
  <w:num w:numId="7">
    <w:abstractNumId w:val="5"/>
  </w:num>
  <w:num w:numId="8">
    <w:abstractNumId w:val="9"/>
  </w:num>
  <w:num w:numId="9">
    <w:abstractNumId w:val="10"/>
  </w:num>
  <w:num w:numId="10">
    <w:abstractNumId w:val="7"/>
  </w:num>
  <w:num w:numId="11">
    <w:abstractNumId w:val="6"/>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FC"/>
    <w:rsid w:val="00000BF4"/>
    <w:rsid w:val="0000159C"/>
    <w:rsid w:val="00002371"/>
    <w:rsid w:val="00012144"/>
    <w:rsid w:val="00017C63"/>
    <w:rsid w:val="00021CD2"/>
    <w:rsid w:val="000235CA"/>
    <w:rsid w:val="000250AA"/>
    <w:rsid w:val="00034500"/>
    <w:rsid w:val="0004142C"/>
    <w:rsid w:val="00047DFD"/>
    <w:rsid w:val="000505A6"/>
    <w:rsid w:val="00072370"/>
    <w:rsid w:val="00075A9B"/>
    <w:rsid w:val="00083E17"/>
    <w:rsid w:val="0009290A"/>
    <w:rsid w:val="00093E91"/>
    <w:rsid w:val="00094226"/>
    <w:rsid w:val="00094C86"/>
    <w:rsid w:val="000950E9"/>
    <w:rsid w:val="0009578D"/>
    <w:rsid w:val="00097009"/>
    <w:rsid w:val="000A2E65"/>
    <w:rsid w:val="000A384C"/>
    <w:rsid w:val="000A406E"/>
    <w:rsid w:val="000A7C17"/>
    <w:rsid w:val="000B2E16"/>
    <w:rsid w:val="000B3780"/>
    <w:rsid w:val="000B3847"/>
    <w:rsid w:val="000B4A8B"/>
    <w:rsid w:val="000B586B"/>
    <w:rsid w:val="000C15F4"/>
    <w:rsid w:val="000C1BE0"/>
    <w:rsid w:val="000C4491"/>
    <w:rsid w:val="000D10C7"/>
    <w:rsid w:val="000D2AFE"/>
    <w:rsid w:val="000D46A1"/>
    <w:rsid w:val="000E2805"/>
    <w:rsid w:val="000F0343"/>
    <w:rsid w:val="000F100E"/>
    <w:rsid w:val="000F133B"/>
    <w:rsid w:val="00102342"/>
    <w:rsid w:val="00102466"/>
    <w:rsid w:val="00102A1F"/>
    <w:rsid w:val="00110EB4"/>
    <w:rsid w:val="00112EDC"/>
    <w:rsid w:val="001145E4"/>
    <w:rsid w:val="00114FD9"/>
    <w:rsid w:val="00122916"/>
    <w:rsid w:val="001260D9"/>
    <w:rsid w:val="00130A0A"/>
    <w:rsid w:val="00133B94"/>
    <w:rsid w:val="00133EA7"/>
    <w:rsid w:val="001351CD"/>
    <w:rsid w:val="0014117E"/>
    <w:rsid w:val="00146B00"/>
    <w:rsid w:val="00150139"/>
    <w:rsid w:val="00150181"/>
    <w:rsid w:val="0015085B"/>
    <w:rsid w:val="00155D35"/>
    <w:rsid w:val="00162FE2"/>
    <w:rsid w:val="001637B2"/>
    <w:rsid w:val="001668A8"/>
    <w:rsid w:val="00167379"/>
    <w:rsid w:val="00167CD1"/>
    <w:rsid w:val="00170532"/>
    <w:rsid w:val="00174551"/>
    <w:rsid w:val="00182AB7"/>
    <w:rsid w:val="00183C52"/>
    <w:rsid w:val="00192CA6"/>
    <w:rsid w:val="00196D5D"/>
    <w:rsid w:val="001A10DD"/>
    <w:rsid w:val="001A3AD1"/>
    <w:rsid w:val="001C0817"/>
    <w:rsid w:val="001D00BD"/>
    <w:rsid w:val="001D1C26"/>
    <w:rsid w:val="001D55F6"/>
    <w:rsid w:val="001D6947"/>
    <w:rsid w:val="001E06C0"/>
    <w:rsid w:val="001F38BF"/>
    <w:rsid w:val="0020038B"/>
    <w:rsid w:val="00200DE3"/>
    <w:rsid w:val="00206AF5"/>
    <w:rsid w:val="00214272"/>
    <w:rsid w:val="00216102"/>
    <w:rsid w:val="00216DE7"/>
    <w:rsid w:val="00222487"/>
    <w:rsid w:val="00222FE3"/>
    <w:rsid w:val="002359A9"/>
    <w:rsid w:val="00241E8E"/>
    <w:rsid w:val="00243CEA"/>
    <w:rsid w:val="0025295C"/>
    <w:rsid w:val="0026306E"/>
    <w:rsid w:val="00263C47"/>
    <w:rsid w:val="0026720E"/>
    <w:rsid w:val="0028325F"/>
    <w:rsid w:val="00283E84"/>
    <w:rsid w:val="002A06C5"/>
    <w:rsid w:val="002A62C8"/>
    <w:rsid w:val="002A691C"/>
    <w:rsid w:val="002B539A"/>
    <w:rsid w:val="002B75A0"/>
    <w:rsid w:val="002C5A21"/>
    <w:rsid w:val="002D1395"/>
    <w:rsid w:val="002D70A8"/>
    <w:rsid w:val="002E51D0"/>
    <w:rsid w:val="002F54E1"/>
    <w:rsid w:val="002F58D4"/>
    <w:rsid w:val="00304EC6"/>
    <w:rsid w:val="00312B2D"/>
    <w:rsid w:val="0031487D"/>
    <w:rsid w:val="003148DF"/>
    <w:rsid w:val="00317F76"/>
    <w:rsid w:val="003205A5"/>
    <w:rsid w:val="00320AA6"/>
    <w:rsid w:val="003215E1"/>
    <w:rsid w:val="00322249"/>
    <w:rsid w:val="00327446"/>
    <w:rsid w:val="00341572"/>
    <w:rsid w:val="0035600A"/>
    <w:rsid w:val="00362F82"/>
    <w:rsid w:val="00370DD1"/>
    <w:rsid w:val="0037622B"/>
    <w:rsid w:val="00381E37"/>
    <w:rsid w:val="003852F7"/>
    <w:rsid w:val="00385AC9"/>
    <w:rsid w:val="00395243"/>
    <w:rsid w:val="00395817"/>
    <w:rsid w:val="00397CEA"/>
    <w:rsid w:val="003B2207"/>
    <w:rsid w:val="003B23F9"/>
    <w:rsid w:val="003B4D3B"/>
    <w:rsid w:val="003C346F"/>
    <w:rsid w:val="003C3F41"/>
    <w:rsid w:val="003E786E"/>
    <w:rsid w:val="003F0E08"/>
    <w:rsid w:val="003F39C8"/>
    <w:rsid w:val="003F6E34"/>
    <w:rsid w:val="003F771F"/>
    <w:rsid w:val="0040027A"/>
    <w:rsid w:val="00400961"/>
    <w:rsid w:val="00402994"/>
    <w:rsid w:val="00403356"/>
    <w:rsid w:val="004053AC"/>
    <w:rsid w:val="00413AA0"/>
    <w:rsid w:val="004243A8"/>
    <w:rsid w:val="00434A56"/>
    <w:rsid w:val="00451CC3"/>
    <w:rsid w:val="004541BF"/>
    <w:rsid w:val="00456DCD"/>
    <w:rsid w:val="00457873"/>
    <w:rsid w:val="00463821"/>
    <w:rsid w:val="0046434D"/>
    <w:rsid w:val="00486DF8"/>
    <w:rsid w:val="00495ABB"/>
    <w:rsid w:val="004A0D44"/>
    <w:rsid w:val="004A291C"/>
    <w:rsid w:val="004A71E8"/>
    <w:rsid w:val="004A72A0"/>
    <w:rsid w:val="004B37F9"/>
    <w:rsid w:val="004C48B0"/>
    <w:rsid w:val="004D5350"/>
    <w:rsid w:val="004E7078"/>
    <w:rsid w:val="004F15A9"/>
    <w:rsid w:val="004F1E26"/>
    <w:rsid w:val="004F6343"/>
    <w:rsid w:val="004F64A6"/>
    <w:rsid w:val="00511342"/>
    <w:rsid w:val="00516F1A"/>
    <w:rsid w:val="005219DF"/>
    <w:rsid w:val="005222CD"/>
    <w:rsid w:val="00525A55"/>
    <w:rsid w:val="00535F4E"/>
    <w:rsid w:val="005468AE"/>
    <w:rsid w:val="0055277C"/>
    <w:rsid w:val="00555E27"/>
    <w:rsid w:val="00563A58"/>
    <w:rsid w:val="00573C56"/>
    <w:rsid w:val="00585A2C"/>
    <w:rsid w:val="005A137A"/>
    <w:rsid w:val="005A1C69"/>
    <w:rsid w:val="005A6147"/>
    <w:rsid w:val="005B1B8F"/>
    <w:rsid w:val="005C62CE"/>
    <w:rsid w:val="005D0FFA"/>
    <w:rsid w:val="005D2C6A"/>
    <w:rsid w:val="005E46B0"/>
    <w:rsid w:val="006013D4"/>
    <w:rsid w:val="00601A77"/>
    <w:rsid w:val="00603CC1"/>
    <w:rsid w:val="006110CE"/>
    <w:rsid w:val="00612DB4"/>
    <w:rsid w:val="0061499B"/>
    <w:rsid w:val="006154B1"/>
    <w:rsid w:val="0062390A"/>
    <w:rsid w:val="0062553A"/>
    <w:rsid w:val="00634D90"/>
    <w:rsid w:val="0063563F"/>
    <w:rsid w:val="0064143E"/>
    <w:rsid w:val="006565E2"/>
    <w:rsid w:val="00657A24"/>
    <w:rsid w:val="006661AD"/>
    <w:rsid w:val="006675CF"/>
    <w:rsid w:val="006729BF"/>
    <w:rsid w:val="00676C41"/>
    <w:rsid w:val="0068343A"/>
    <w:rsid w:val="00690159"/>
    <w:rsid w:val="00695AFC"/>
    <w:rsid w:val="006A2D7E"/>
    <w:rsid w:val="006A7F4F"/>
    <w:rsid w:val="006B509C"/>
    <w:rsid w:val="006C1138"/>
    <w:rsid w:val="006C3390"/>
    <w:rsid w:val="006C4BA2"/>
    <w:rsid w:val="006C6991"/>
    <w:rsid w:val="006E1F33"/>
    <w:rsid w:val="006E5AC7"/>
    <w:rsid w:val="006F1DF2"/>
    <w:rsid w:val="006F1E17"/>
    <w:rsid w:val="006F41F5"/>
    <w:rsid w:val="006F4BD6"/>
    <w:rsid w:val="00700B00"/>
    <w:rsid w:val="00705085"/>
    <w:rsid w:val="00706933"/>
    <w:rsid w:val="00707DAC"/>
    <w:rsid w:val="00715D05"/>
    <w:rsid w:val="0072300A"/>
    <w:rsid w:val="007233F4"/>
    <w:rsid w:val="00727BA7"/>
    <w:rsid w:val="00730C33"/>
    <w:rsid w:val="007312BB"/>
    <w:rsid w:val="00731A91"/>
    <w:rsid w:val="00743BEE"/>
    <w:rsid w:val="00744627"/>
    <w:rsid w:val="00761BFE"/>
    <w:rsid w:val="007719AA"/>
    <w:rsid w:val="00775CBC"/>
    <w:rsid w:val="00776559"/>
    <w:rsid w:val="0078186A"/>
    <w:rsid w:val="00786AA5"/>
    <w:rsid w:val="00792766"/>
    <w:rsid w:val="00796084"/>
    <w:rsid w:val="007A19A5"/>
    <w:rsid w:val="007A5B89"/>
    <w:rsid w:val="007B2D62"/>
    <w:rsid w:val="007B3FB4"/>
    <w:rsid w:val="007C597F"/>
    <w:rsid w:val="007C6252"/>
    <w:rsid w:val="007D112B"/>
    <w:rsid w:val="007D1C5E"/>
    <w:rsid w:val="007D4274"/>
    <w:rsid w:val="007E1544"/>
    <w:rsid w:val="007F068A"/>
    <w:rsid w:val="007F1761"/>
    <w:rsid w:val="008017E2"/>
    <w:rsid w:val="00802C66"/>
    <w:rsid w:val="00805A5E"/>
    <w:rsid w:val="00812F10"/>
    <w:rsid w:val="0083277E"/>
    <w:rsid w:val="00833B45"/>
    <w:rsid w:val="00845896"/>
    <w:rsid w:val="0085188C"/>
    <w:rsid w:val="00852E08"/>
    <w:rsid w:val="0086063D"/>
    <w:rsid w:val="008702B7"/>
    <w:rsid w:val="008736D5"/>
    <w:rsid w:val="00873FCA"/>
    <w:rsid w:val="0087557A"/>
    <w:rsid w:val="00876944"/>
    <w:rsid w:val="0089006E"/>
    <w:rsid w:val="00890C4B"/>
    <w:rsid w:val="008C3FFB"/>
    <w:rsid w:val="008D0022"/>
    <w:rsid w:val="008D2DAE"/>
    <w:rsid w:val="008D2DBC"/>
    <w:rsid w:val="008D581E"/>
    <w:rsid w:val="008D753E"/>
    <w:rsid w:val="008E15F7"/>
    <w:rsid w:val="008E6EEC"/>
    <w:rsid w:val="008F04C4"/>
    <w:rsid w:val="00913360"/>
    <w:rsid w:val="009159E2"/>
    <w:rsid w:val="00920743"/>
    <w:rsid w:val="00920B95"/>
    <w:rsid w:val="00921CD4"/>
    <w:rsid w:val="009245C8"/>
    <w:rsid w:val="00930D0C"/>
    <w:rsid w:val="00933E08"/>
    <w:rsid w:val="00934BFC"/>
    <w:rsid w:val="00936239"/>
    <w:rsid w:val="00941AFB"/>
    <w:rsid w:val="009459CF"/>
    <w:rsid w:val="00946D14"/>
    <w:rsid w:val="009522C8"/>
    <w:rsid w:val="00952795"/>
    <w:rsid w:val="00952E13"/>
    <w:rsid w:val="0095523B"/>
    <w:rsid w:val="0095787E"/>
    <w:rsid w:val="0096662C"/>
    <w:rsid w:val="0096769E"/>
    <w:rsid w:val="00983B20"/>
    <w:rsid w:val="009957E1"/>
    <w:rsid w:val="0099628B"/>
    <w:rsid w:val="009A2D67"/>
    <w:rsid w:val="009A395D"/>
    <w:rsid w:val="009B1015"/>
    <w:rsid w:val="009B1318"/>
    <w:rsid w:val="009C121E"/>
    <w:rsid w:val="009C27F4"/>
    <w:rsid w:val="009C5A8B"/>
    <w:rsid w:val="009D4245"/>
    <w:rsid w:val="009E227A"/>
    <w:rsid w:val="009F0DC4"/>
    <w:rsid w:val="009F2D35"/>
    <w:rsid w:val="009F5541"/>
    <w:rsid w:val="00A01032"/>
    <w:rsid w:val="00A056D1"/>
    <w:rsid w:val="00A113E3"/>
    <w:rsid w:val="00A20CDD"/>
    <w:rsid w:val="00A2156E"/>
    <w:rsid w:val="00A21A2B"/>
    <w:rsid w:val="00A23FB7"/>
    <w:rsid w:val="00A24E47"/>
    <w:rsid w:val="00A46929"/>
    <w:rsid w:val="00A50789"/>
    <w:rsid w:val="00A57143"/>
    <w:rsid w:val="00A60678"/>
    <w:rsid w:val="00A7369C"/>
    <w:rsid w:val="00A77954"/>
    <w:rsid w:val="00A81966"/>
    <w:rsid w:val="00A81F32"/>
    <w:rsid w:val="00A963AE"/>
    <w:rsid w:val="00AA04DC"/>
    <w:rsid w:val="00AC0815"/>
    <w:rsid w:val="00AC556C"/>
    <w:rsid w:val="00AE6FC6"/>
    <w:rsid w:val="00AF0275"/>
    <w:rsid w:val="00AF23C4"/>
    <w:rsid w:val="00AF6E46"/>
    <w:rsid w:val="00B11C6D"/>
    <w:rsid w:val="00B22772"/>
    <w:rsid w:val="00B307D0"/>
    <w:rsid w:val="00B32DE1"/>
    <w:rsid w:val="00B42A6A"/>
    <w:rsid w:val="00B538BC"/>
    <w:rsid w:val="00B55024"/>
    <w:rsid w:val="00B57235"/>
    <w:rsid w:val="00B62D36"/>
    <w:rsid w:val="00B634FD"/>
    <w:rsid w:val="00B65404"/>
    <w:rsid w:val="00B70219"/>
    <w:rsid w:val="00B8703C"/>
    <w:rsid w:val="00B930C5"/>
    <w:rsid w:val="00B97FEE"/>
    <w:rsid w:val="00BA20C0"/>
    <w:rsid w:val="00BA2F63"/>
    <w:rsid w:val="00BA51C7"/>
    <w:rsid w:val="00BA72B5"/>
    <w:rsid w:val="00BB3836"/>
    <w:rsid w:val="00BC07ED"/>
    <w:rsid w:val="00BC1C6F"/>
    <w:rsid w:val="00BE1B96"/>
    <w:rsid w:val="00BF130B"/>
    <w:rsid w:val="00BF46D1"/>
    <w:rsid w:val="00BF4752"/>
    <w:rsid w:val="00C03519"/>
    <w:rsid w:val="00C12451"/>
    <w:rsid w:val="00C15C73"/>
    <w:rsid w:val="00C1780B"/>
    <w:rsid w:val="00C630EE"/>
    <w:rsid w:val="00C66871"/>
    <w:rsid w:val="00C800D7"/>
    <w:rsid w:val="00C81AA5"/>
    <w:rsid w:val="00C96219"/>
    <w:rsid w:val="00CA4DBA"/>
    <w:rsid w:val="00CA642D"/>
    <w:rsid w:val="00CA75D1"/>
    <w:rsid w:val="00CB03F0"/>
    <w:rsid w:val="00CB29C6"/>
    <w:rsid w:val="00CB4A5E"/>
    <w:rsid w:val="00CB5167"/>
    <w:rsid w:val="00CB5DA1"/>
    <w:rsid w:val="00CB602D"/>
    <w:rsid w:val="00CC3F91"/>
    <w:rsid w:val="00CD1371"/>
    <w:rsid w:val="00CD6DD5"/>
    <w:rsid w:val="00CD726B"/>
    <w:rsid w:val="00CE73E9"/>
    <w:rsid w:val="00D01171"/>
    <w:rsid w:val="00D0263F"/>
    <w:rsid w:val="00D02D31"/>
    <w:rsid w:val="00D03382"/>
    <w:rsid w:val="00D03B70"/>
    <w:rsid w:val="00D13239"/>
    <w:rsid w:val="00D13B34"/>
    <w:rsid w:val="00D14AA6"/>
    <w:rsid w:val="00D30891"/>
    <w:rsid w:val="00D370C4"/>
    <w:rsid w:val="00D47E3B"/>
    <w:rsid w:val="00D50676"/>
    <w:rsid w:val="00D65F0F"/>
    <w:rsid w:val="00D73383"/>
    <w:rsid w:val="00D75EC2"/>
    <w:rsid w:val="00D90774"/>
    <w:rsid w:val="00D93FEF"/>
    <w:rsid w:val="00DA3D6B"/>
    <w:rsid w:val="00DA7524"/>
    <w:rsid w:val="00DB0240"/>
    <w:rsid w:val="00DB507F"/>
    <w:rsid w:val="00DB6E6D"/>
    <w:rsid w:val="00DB7A59"/>
    <w:rsid w:val="00DC279B"/>
    <w:rsid w:val="00DD4DD1"/>
    <w:rsid w:val="00DD5A1E"/>
    <w:rsid w:val="00DE0468"/>
    <w:rsid w:val="00DF2212"/>
    <w:rsid w:val="00DF3D8E"/>
    <w:rsid w:val="00DF5E05"/>
    <w:rsid w:val="00DF7F8A"/>
    <w:rsid w:val="00E06F9A"/>
    <w:rsid w:val="00E105DC"/>
    <w:rsid w:val="00E10F7D"/>
    <w:rsid w:val="00E12BFA"/>
    <w:rsid w:val="00E23852"/>
    <w:rsid w:val="00E25708"/>
    <w:rsid w:val="00E41C28"/>
    <w:rsid w:val="00E557A7"/>
    <w:rsid w:val="00E57B28"/>
    <w:rsid w:val="00E65848"/>
    <w:rsid w:val="00E72432"/>
    <w:rsid w:val="00E72572"/>
    <w:rsid w:val="00E87D00"/>
    <w:rsid w:val="00E915F4"/>
    <w:rsid w:val="00E9443C"/>
    <w:rsid w:val="00E955D9"/>
    <w:rsid w:val="00EA0680"/>
    <w:rsid w:val="00EA0AF5"/>
    <w:rsid w:val="00EA2899"/>
    <w:rsid w:val="00EA4BE3"/>
    <w:rsid w:val="00EA53BC"/>
    <w:rsid w:val="00EA68C2"/>
    <w:rsid w:val="00EA6D85"/>
    <w:rsid w:val="00EA7C6C"/>
    <w:rsid w:val="00EB3D00"/>
    <w:rsid w:val="00EC0520"/>
    <w:rsid w:val="00EC086B"/>
    <w:rsid w:val="00EC088B"/>
    <w:rsid w:val="00EC213D"/>
    <w:rsid w:val="00ED2B25"/>
    <w:rsid w:val="00ED45C0"/>
    <w:rsid w:val="00ED6E99"/>
    <w:rsid w:val="00EE4857"/>
    <w:rsid w:val="00EE62B6"/>
    <w:rsid w:val="00EE7291"/>
    <w:rsid w:val="00EF0C35"/>
    <w:rsid w:val="00EF5A75"/>
    <w:rsid w:val="00F01E8D"/>
    <w:rsid w:val="00F05B4B"/>
    <w:rsid w:val="00F06ADE"/>
    <w:rsid w:val="00F13FFC"/>
    <w:rsid w:val="00F16F3C"/>
    <w:rsid w:val="00F22E06"/>
    <w:rsid w:val="00F24B6D"/>
    <w:rsid w:val="00F348FE"/>
    <w:rsid w:val="00F34F43"/>
    <w:rsid w:val="00F400F6"/>
    <w:rsid w:val="00F44079"/>
    <w:rsid w:val="00F50E82"/>
    <w:rsid w:val="00F5211A"/>
    <w:rsid w:val="00F52224"/>
    <w:rsid w:val="00F54E1B"/>
    <w:rsid w:val="00F575E0"/>
    <w:rsid w:val="00F57994"/>
    <w:rsid w:val="00F802A7"/>
    <w:rsid w:val="00F803D9"/>
    <w:rsid w:val="00F81126"/>
    <w:rsid w:val="00F868CE"/>
    <w:rsid w:val="00FB189F"/>
    <w:rsid w:val="00FC1DD0"/>
    <w:rsid w:val="00FC54EF"/>
    <w:rsid w:val="00FC7C87"/>
    <w:rsid w:val="00FE533A"/>
    <w:rsid w:val="00FE5E92"/>
    <w:rsid w:val="00FF3A25"/>
    <w:rsid w:val="00FF6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62CD7C-F1E3-435D-AE74-0C7ED107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155D35"/>
    <w:pPr>
      <w:keepNext/>
      <w:overflowPunct w:val="0"/>
      <w:autoSpaceDE w:val="0"/>
      <w:autoSpaceDN w:val="0"/>
      <w:adjustRightInd w:val="0"/>
      <w:spacing w:after="0" w:line="240" w:lineRule="auto"/>
      <w:textAlignment w:val="baseline"/>
      <w:outlineLvl w:val="5"/>
    </w:pPr>
    <w:rPr>
      <w:rFonts w:ascii="Comic Sans MS" w:eastAsia="Times New Roman" w:hAnsi="Comic Sans MS" w:cs="Comic Sans MS"/>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73C56"/>
    <w:pPr>
      <w:ind w:left="720"/>
      <w:contextualSpacing/>
    </w:pPr>
  </w:style>
  <w:style w:type="paragraph" w:styleId="Subtitle">
    <w:name w:val="Subtitle"/>
    <w:basedOn w:val="Normal"/>
    <w:link w:val="SubtitleChar"/>
    <w:qFormat/>
    <w:rsid w:val="00776559"/>
    <w:pPr>
      <w:overflowPunct w:val="0"/>
      <w:autoSpaceDE w:val="0"/>
      <w:autoSpaceDN w:val="0"/>
      <w:adjustRightInd w:val="0"/>
      <w:spacing w:after="0" w:line="240" w:lineRule="auto"/>
      <w:textAlignment w:val="baseline"/>
    </w:pPr>
    <w:rPr>
      <w:rFonts w:ascii="Comic Sans MS" w:eastAsia="Times New Roman" w:hAnsi="Comic Sans MS" w:cs="Times New Roman"/>
      <w:b/>
      <w:sz w:val="24"/>
      <w:szCs w:val="20"/>
    </w:rPr>
  </w:style>
  <w:style w:type="character" w:customStyle="1" w:styleId="SubtitleChar">
    <w:name w:val="Subtitle Char"/>
    <w:basedOn w:val="DefaultParagraphFont"/>
    <w:link w:val="Subtitle"/>
    <w:rsid w:val="00776559"/>
    <w:rPr>
      <w:rFonts w:ascii="Comic Sans MS" w:eastAsia="Times New Roman" w:hAnsi="Comic Sans MS" w:cs="Times New Roman"/>
      <w:b/>
      <w:sz w:val="24"/>
      <w:szCs w:val="20"/>
    </w:rPr>
  </w:style>
  <w:style w:type="paragraph" w:styleId="BodyText2">
    <w:name w:val="Body Text 2"/>
    <w:basedOn w:val="Normal"/>
    <w:link w:val="BodyText2Char"/>
    <w:rsid w:val="00C15C73"/>
    <w:pPr>
      <w:overflowPunct w:val="0"/>
      <w:autoSpaceDE w:val="0"/>
      <w:autoSpaceDN w:val="0"/>
      <w:adjustRightInd w:val="0"/>
      <w:spacing w:after="0" w:line="240" w:lineRule="auto"/>
      <w:ind w:left="270" w:hanging="270"/>
      <w:textAlignment w:val="baseline"/>
    </w:pPr>
    <w:rPr>
      <w:rFonts w:ascii="Comic Sans MS" w:eastAsia="Times New Roman" w:hAnsi="Comic Sans MS" w:cs="Times New Roman"/>
      <w:sz w:val="24"/>
      <w:szCs w:val="20"/>
    </w:rPr>
  </w:style>
  <w:style w:type="character" w:customStyle="1" w:styleId="BodyText2Char">
    <w:name w:val="Body Text 2 Char"/>
    <w:basedOn w:val="DefaultParagraphFont"/>
    <w:link w:val="BodyText2"/>
    <w:rsid w:val="00C15C73"/>
    <w:rPr>
      <w:rFonts w:ascii="Comic Sans MS" w:eastAsia="Times New Roman" w:hAnsi="Comic Sans MS" w:cs="Times New Roman"/>
      <w:sz w:val="24"/>
      <w:szCs w:val="20"/>
    </w:rPr>
  </w:style>
  <w:style w:type="character" w:styleId="Hyperlink">
    <w:name w:val="Hyperlink"/>
    <w:basedOn w:val="DefaultParagraphFont"/>
    <w:uiPriority w:val="99"/>
    <w:unhideWhenUsed/>
    <w:rsid w:val="007C6252"/>
    <w:rPr>
      <w:color w:val="0000FF" w:themeColor="hyperlink"/>
      <w:u w:val="single"/>
    </w:rPr>
  </w:style>
  <w:style w:type="character" w:styleId="Strong">
    <w:name w:val="Strong"/>
    <w:basedOn w:val="DefaultParagraphFont"/>
    <w:uiPriority w:val="22"/>
    <w:qFormat/>
    <w:rsid w:val="007E1544"/>
    <w:rPr>
      <w:b/>
      <w:bCs/>
    </w:rPr>
  </w:style>
  <w:style w:type="paragraph" w:styleId="NormalWeb">
    <w:name w:val="Normal (Web)"/>
    <w:basedOn w:val="Normal"/>
    <w:uiPriority w:val="99"/>
    <w:semiHidden/>
    <w:unhideWhenUsed/>
    <w:rsid w:val="007E1544"/>
    <w:pPr>
      <w:spacing w:after="150"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155D35"/>
    <w:rPr>
      <w:rFonts w:ascii="Comic Sans MS" w:eastAsia="Times New Roman" w:hAnsi="Comic Sans MS" w:cs="Comic Sans MS"/>
      <w:b/>
      <w:bCs/>
      <w:sz w:val="24"/>
      <w:szCs w:val="24"/>
      <w:u w:val="single"/>
    </w:rPr>
  </w:style>
  <w:style w:type="character" w:styleId="FollowedHyperlink">
    <w:name w:val="FollowedHyperlink"/>
    <w:basedOn w:val="DefaultParagraphFont"/>
    <w:uiPriority w:val="99"/>
    <w:semiHidden/>
    <w:unhideWhenUsed/>
    <w:rsid w:val="003274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187259852">
      <w:bodyDiv w:val="1"/>
      <w:marLeft w:val="0"/>
      <w:marRight w:val="0"/>
      <w:marTop w:val="0"/>
      <w:marBottom w:val="0"/>
      <w:divBdr>
        <w:top w:val="none" w:sz="0" w:space="0" w:color="auto"/>
        <w:left w:val="none" w:sz="0" w:space="0" w:color="auto"/>
        <w:bottom w:val="none" w:sz="0" w:space="0" w:color="auto"/>
        <w:right w:val="none" w:sz="0" w:space="0" w:color="auto"/>
      </w:divBdr>
    </w:div>
    <w:div w:id="526213369">
      <w:bodyDiv w:val="1"/>
      <w:marLeft w:val="0"/>
      <w:marRight w:val="0"/>
      <w:marTop w:val="0"/>
      <w:marBottom w:val="0"/>
      <w:divBdr>
        <w:top w:val="none" w:sz="0" w:space="0" w:color="auto"/>
        <w:left w:val="none" w:sz="0" w:space="0" w:color="auto"/>
        <w:bottom w:val="none" w:sz="0" w:space="0" w:color="auto"/>
        <w:right w:val="none" w:sz="0" w:space="0" w:color="auto"/>
      </w:divBdr>
      <w:divsChild>
        <w:div w:id="485635103">
          <w:marLeft w:val="0"/>
          <w:marRight w:val="0"/>
          <w:marTop w:val="0"/>
          <w:marBottom w:val="0"/>
          <w:divBdr>
            <w:top w:val="none" w:sz="0" w:space="0" w:color="auto"/>
            <w:left w:val="none" w:sz="0" w:space="0" w:color="auto"/>
            <w:bottom w:val="none" w:sz="0" w:space="0" w:color="auto"/>
            <w:right w:val="none" w:sz="0" w:space="0" w:color="auto"/>
          </w:divBdr>
          <w:divsChild>
            <w:div w:id="1747264765">
              <w:marLeft w:val="0"/>
              <w:marRight w:val="0"/>
              <w:marTop w:val="0"/>
              <w:marBottom w:val="0"/>
              <w:divBdr>
                <w:top w:val="none" w:sz="0" w:space="0" w:color="auto"/>
                <w:left w:val="none" w:sz="0" w:space="0" w:color="auto"/>
                <w:bottom w:val="none" w:sz="0" w:space="0" w:color="auto"/>
                <w:right w:val="none" w:sz="0" w:space="0" w:color="auto"/>
              </w:divBdr>
              <w:divsChild>
                <w:div w:id="275674173">
                  <w:marLeft w:val="0"/>
                  <w:marRight w:val="0"/>
                  <w:marTop w:val="0"/>
                  <w:marBottom w:val="600"/>
                  <w:divBdr>
                    <w:top w:val="single" w:sz="2" w:space="0" w:color="B6BABF"/>
                    <w:left w:val="single" w:sz="6" w:space="0" w:color="B6BABF"/>
                    <w:bottom w:val="single" w:sz="6" w:space="0" w:color="B6BABF"/>
                    <w:right w:val="single" w:sz="6" w:space="0" w:color="B6BABF"/>
                  </w:divBdr>
                  <w:divsChild>
                    <w:div w:id="1350644383">
                      <w:marLeft w:val="0"/>
                      <w:marRight w:val="0"/>
                      <w:marTop w:val="0"/>
                      <w:marBottom w:val="0"/>
                      <w:divBdr>
                        <w:top w:val="none" w:sz="0" w:space="0" w:color="auto"/>
                        <w:left w:val="none" w:sz="0" w:space="0" w:color="auto"/>
                        <w:bottom w:val="none" w:sz="0" w:space="0" w:color="auto"/>
                        <w:right w:val="none" w:sz="0" w:space="0" w:color="auto"/>
                      </w:divBdr>
                      <w:divsChild>
                        <w:div w:id="2108190366">
                          <w:marLeft w:val="0"/>
                          <w:marRight w:val="0"/>
                          <w:marTop w:val="0"/>
                          <w:marBottom w:val="0"/>
                          <w:divBdr>
                            <w:top w:val="none" w:sz="0" w:space="0" w:color="auto"/>
                            <w:left w:val="none" w:sz="0" w:space="0" w:color="auto"/>
                            <w:bottom w:val="none" w:sz="0" w:space="0" w:color="auto"/>
                            <w:right w:val="none" w:sz="0" w:space="0" w:color="auto"/>
                          </w:divBdr>
                          <w:divsChild>
                            <w:div w:id="752360033">
                              <w:marLeft w:val="0"/>
                              <w:marRight w:val="0"/>
                              <w:marTop w:val="0"/>
                              <w:marBottom w:val="0"/>
                              <w:divBdr>
                                <w:top w:val="none" w:sz="0" w:space="0" w:color="auto"/>
                                <w:left w:val="none" w:sz="0" w:space="0" w:color="auto"/>
                                <w:bottom w:val="none" w:sz="0" w:space="0" w:color="auto"/>
                                <w:right w:val="none" w:sz="0" w:space="0" w:color="auto"/>
                              </w:divBdr>
                              <w:divsChild>
                                <w:div w:id="339039843">
                                  <w:marLeft w:val="0"/>
                                  <w:marRight w:val="0"/>
                                  <w:marTop w:val="0"/>
                                  <w:marBottom w:val="0"/>
                                  <w:divBdr>
                                    <w:top w:val="none" w:sz="0" w:space="0" w:color="auto"/>
                                    <w:left w:val="none" w:sz="0" w:space="0" w:color="auto"/>
                                    <w:bottom w:val="none" w:sz="0" w:space="0" w:color="auto"/>
                                    <w:right w:val="none" w:sz="0" w:space="0" w:color="auto"/>
                                  </w:divBdr>
                                  <w:divsChild>
                                    <w:div w:id="18262411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b.hbsp.harvard.edu/cbmp/pl/73939248/73939250/5f4421bc8caa37f1fdb286f4b5ec94c6" TargetMode="External"/><Relationship Id="rId18" Type="http://schemas.openxmlformats.org/officeDocument/2006/relationships/hyperlink" Target="https://cb.hbsp.harvard.edu/cbmp/pl/60215778/60215784/e9d383654bc9688e3359825e26fc027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b.hbsp.harvard.edu/cbmp/pl/73939248/73939262/ef7968b5b39a9c0eed40fa88b2099531" TargetMode="External"/><Relationship Id="rId7" Type="http://schemas.openxmlformats.org/officeDocument/2006/relationships/endnotes" Target="endnotes.xml"/><Relationship Id="rId12" Type="http://schemas.openxmlformats.org/officeDocument/2006/relationships/hyperlink" Target="https://cb.hbsp.harvard.edu/cbmp/pl/73939248/73939250/5f4421bc8caa37f1fdb286f4b5ec94c6" TargetMode="External"/><Relationship Id="rId17" Type="http://schemas.openxmlformats.org/officeDocument/2006/relationships/hyperlink" Target="http://www.sec.gov/investor/pubs/rule144.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c.gov/investor/pubs/rule144.htm" TargetMode="External"/><Relationship Id="rId20" Type="http://schemas.openxmlformats.org/officeDocument/2006/relationships/hyperlink" Target="https://cb.hbsp.harvard.edu/cbmp/pl/73939248/73939258/6422118ee81e22b5504ebf0396ea0c6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fapubs.org/doi/pdf/10.2469/faj.v72.n5.2" TargetMode="External"/><Relationship Id="rId24" Type="http://schemas.openxmlformats.org/officeDocument/2006/relationships/hyperlink" Target="http://www.cftc.gov/idc/groups/public/@otherif/documents/ifdocs/staff-findings050610.pdf" TargetMode="External"/><Relationship Id="rId5" Type="http://schemas.openxmlformats.org/officeDocument/2006/relationships/webSettings" Target="webSettings.xml"/><Relationship Id="rId15" Type="http://schemas.openxmlformats.org/officeDocument/2006/relationships/hyperlink" Target="https://cb.hbsp.harvard.edu/cbmp/pl/73939248/73939252/5895f5a8c787ef92f3c5269f0e6875cf" TargetMode="External"/><Relationship Id="rId23" Type="http://schemas.openxmlformats.org/officeDocument/2006/relationships/hyperlink" Target="http://www.cftc.gov/idc/groups/public/@otherif/documents/ifdocs/staff-findings050610.pdf" TargetMode="External"/><Relationship Id="rId10" Type="http://schemas.openxmlformats.org/officeDocument/2006/relationships/hyperlink" Target="http://www.cfapubs.org/doi/pdf/10.2469/faj.v72.n5.2" TargetMode="External"/><Relationship Id="rId19" Type="http://schemas.openxmlformats.org/officeDocument/2006/relationships/hyperlink" Target="https://cb.hbsp.harvard.edu/cbmp/pl/73939248/73939254/486c646ee4d52211f55b351997f40be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b.hbsp.harvard.edu/cbmp/pl/60215778/60215782/374b4072483c8cf19f2041a34cc301d2" TargetMode="External"/><Relationship Id="rId22" Type="http://schemas.openxmlformats.org/officeDocument/2006/relationships/hyperlink" Target="https://cb.hbsp.harvard.edu/cbmp/pl/73939248/73939266/ace374712d66b869b0dc06e8038bf1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3CAC5-FCD3-450A-99BD-2A21B5DC5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2257</Words>
  <Characters>12866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kk2012</dc:creator>
  <cp:lastModifiedBy>Friedman,  Elisabeth</cp:lastModifiedBy>
  <cp:revision>2</cp:revision>
  <cp:lastPrinted>2018-01-19T16:42:00Z</cp:lastPrinted>
  <dcterms:created xsi:type="dcterms:W3CDTF">2018-04-16T18:54:00Z</dcterms:created>
  <dcterms:modified xsi:type="dcterms:W3CDTF">2018-04-16T18:54:00Z</dcterms:modified>
</cp:coreProperties>
</file>