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AB1530" w14:textId="77777777" w:rsidR="00571760" w:rsidRPr="001D694A" w:rsidRDefault="009935EB">
      <w:pPr>
        <w:pStyle w:val="Heading2"/>
        <w:tabs>
          <w:tab w:val="left" w:pos="1440"/>
        </w:tabs>
        <w:rPr>
          <w:rStyle w:val="heading1char00"/>
          <w:rFonts w:ascii="Verdana" w:eastAsia="Times New Roman" w:hAnsi="Verdana"/>
          <w:b/>
          <w:bCs/>
          <w:color w:val="000080"/>
          <w:sz w:val="28"/>
          <w:szCs w:val="28"/>
        </w:rPr>
      </w:pPr>
      <w:r w:rsidRPr="001D694A">
        <w:rPr>
          <w:rStyle w:val="heading1char00"/>
          <w:rFonts w:ascii="Verdana" w:eastAsia="Times New Roman" w:hAnsi="Verdana"/>
          <w:b/>
          <w:bCs/>
          <w:color w:val="000080"/>
          <w:sz w:val="28"/>
          <w:szCs w:val="28"/>
        </w:rPr>
        <w:t xml:space="preserve">Columbia Business School </w:t>
      </w:r>
    </w:p>
    <w:p w14:paraId="5E43580F" w14:textId="28FB291F" w:rsidR="00571760" w:rsidRPr="001D694A" w:rsidRDefault="009935EB">
      <w:pPr>
        <w:pStyle w:val="Heading2"/>
        <w:tabs>
          <w:tab w:val="left" w:pos="1440"/>
        </w:tabs>
        <w:rPr>
          <w:rFonts w:ascii="Verdana" w:eastAsia="Times New Roman" w:hAnsi="Verdana" w:cs="Arial"/>
          <w:color w:val="000080"/>
          <w:sz w:val="28"/>
          <w:szCs w:val="28"/>
        </w:rPr>
      </w:pPr>
      <w:r w:rsidRPr="001D694A">
        <w:rPr>
          <w:rStyle w:val="heading1char00"/>
          <w:rFonts w:ascii="Verdana" w:eastAsia="Times New Roman" w:hAnsi="Verdana"/>
          <w:b/>
          <w:bCs/>
          <w:color w:val="000080"/>
          <w:sz w:val="28"/>
          <w:szCs w:val="28"/>
        </w:rPr>
        <w:t>B8250</w:t>
      </w:r>
      <w:r w:rsidR="001D694A" w:rsidRPr="001D694A">
        <w:rPr>
          <w:rStyle w:val="heading1char00"/>
          <w:rFonts w:ascii="Verdana" w:eastAsia="Times New Roman" w:hAnsi="Verdana"/>
          <w:b/>
          <w:bCs/>
          <w:color w:val="000080"/>
          <w:sz w:val="28"/>
          <w:szCs w:val="28"/>
        </w:rPr>
        <w:t xml:space="preserve"> </w:t>
      </w:r>
      <w:r w:rsidRPr="001D694A">
        <w:rPr>
          <w:rFonts w:ascii="Verdana" w:eastAsia="Times New Roman" w:hAnsi="Verdana"/>
          <w:color w:val="000080"/>
          <w:sz w:val="28"/>
          <w:szCs w:val="28"/>
        </w:rPr>
        <w:t xml:space="preserve">Global Economic Environment II: Macroeconomic Policy </w:t>
      </w:r>
    </w:p>
    <w:p w14:paraId="58962332" w14:textId="77777777" w:rsidR="00571760" w:rsidRPr="001D694A" w:rsidRDefault="001B0126">
      <w:pPr>
        <w:pStyle w:val="Heading3"/>
        <w:rPr>
          <w:rFonts w:eastAsia="Times New Roman"/>
          <w:sz w:val="28"/>
          <w:szCs w:val="28"/>
        </w:rPr>
      </w:pPr>
      <w:r w:rsidRPr="001D694A">
        <w:rPr>
          <w:rFonts w:ascii="Verdana" w:eastAsia="Times New Roman" w:hAnsi="Verdana"/>
          <w:color w:val="000080"/>
          <w:sz w:val="28"/>
          <w:szCs w:val="28"/>
        </w:rPr>
        <w:t>Fall</w:t>
      </w:r>
      <w:r w:rsidR="00755199" w:rsidRPr="001D694A">
        <w:rPr>
          <w:rFonts w:ascii="Verdana" w:eastAsia="Times New Roman" w:hAnsi="Verdana"/>
          <w:color w:val="000080"/>
          <w:sz w:val="28"/>
          <w:szCs w:val="28"/>
        </w:rPr>
        <w:t xml:space="preserve"> 2021</w:t>
      </w:r>
    </w:p>
    <w:p w14:paraId="12D116A6" w14:textId="77777777" w:rsidR="00571760" w:rsidRPr="001D694A" w:rsidRDefault="001B0126" w:rsidP="001B0126">
      <w:pPr>
        <w:pStyle w:val="Heading3"/>
        <w:rPr>
          <w:rFonts w:eastAsia="Times New Roman"/>
          <w:sz w:val="28"/>
          <w:szCs w:val="28"/>
        </w:rPr>
      </w:pPr>
      <w:r w:rsidRPr="001D694A">
        <w:rPr>
          <w:rFonts w:ascii="Verdana" w:eastAsia="Times New Roman" w:hAnsi="Verdana"/>
          <w:color w:val="0000FF"/>
          <w:sz w:val="28"/>
          <w:szCs w:val="28"/>
          <w:u w:val="single"/>
        </w:rPr>
        <w:t>Professor Shang-Jin Wei</w:t>
      </w:r>
    </w:p>
    <w:p w14:paraId="7A5E9DD7" w14:textId="772CE6B0" w:rsidR="00571760" w:rsidRDefault="001D694A">
      <w:pPr>
        <w:pStyle w:val="NormalWeb"/>
      </w:pPr>
      <w:r>
        <w:t xml:space="preserve">Email: </w:t>
      </w:r>
      <w:hyperlink r:id="rId7" w:history="1">
        <w:r w:rsidRPr="00894F2E">
          <w:rPr>
            <w:rStyle w:val="Hyperlink"/>
          </w:rPr>
          <w:t>shangjin.wei@columbia.edu</w:t>
        </w:r>
      </w:hyperlink>
      <w:r>
        <w:t xml:space="preserve">                  Website:  </w:t>
      </w:r>
      <w:hyperlink r:id="rId8" w:history="1">
        <w:r w:rsidRPr="00894F2E">
          <w:rPr>
            <w:rStyle w:val="Hyperlink"/>
          </w:rPr>
          <w:t>www.nber.org/~wei</w:t>
        </w:r>
      </w:hyperlink>
    </w:p>
    <w:p w14:paraId="44E1759F" w14:textId="77777777" w:rsidR="002759F2" w:rsidRDefault="002759F2">
      <w:pPr>
        <w:pStyle w:val="NormalWeb"/>
        <w:rPr>
          <w:rFonts w:ascii="Verdana" w:hAnsi="Verdana"/>
          <w:sz w:val="22"/>
          <w:szCs w:val="22"/>
        </w:rPr>
      </w:pPr>
    </w:p>
    <w:p w14:paraId="484557DF" w14:textId="071828CA" w:rsidR="002759F2" w:rsidRDefault="002759F2">
      <w:pPr>
        <w:pStyle w:val="NormalWeb"/>
        <w:rPr>
          <w:rFonts w:ascii="Verdana" w:hAnsi="Verdana"/>
          <w:sz w:val="22"/>
          <w:szCs w:val="22"/>
        </w:rPr>
      </w:pPr>
      <w:r w:rsidRPr="002759F2">
        <w:rPr>
          <w:rFonts w:ascii="Verdana" w:hAnsi="Verdana"/>
          <w:b/>
          <w:bCs/>
          <w:sz w:val="22"/>
          <w:szCs w:val="22"/>
        </w:rPr>
        <w:t>Times:</w:t>
      </w:r>
      <w:r>
        <w:rPr>
          <w:rFonts w:ascii="Verdana" w:hAnsi="Verdana"/>
          <w:sz w:val="22"/>
          <w:szCs w:val="22"/>
        </w:rPr>
        <w:t xml:space="preserve"> Tuesdays and Thursdays, 8:30-10:00 am (section 1) or 10:20-11:50 am (section 2)</w:t>
      </w:r>
    </w:p>
    <w:p w14:paraId="78D4246A" w14:textId="53EDB058" w:rsidR="002759F2" w:rsidRDefault="002759F2">
      <w:pPr>
        <w:pStyle w:val="NormalWeb"/>
        <w:rPr>
          <w:rFonts w:ascii="Verdana" w:hAnsi="Verdana"/>
          <w:sz w:val="22"/>
          <w:szCs w:val="22"/>
        </w:rPr>
      </w:pPr>
      <w:r>
        <w:rPr>
          <w:rFonts w:ascii="Verdana" w:hAnsi="Verdana"/>
          <w:sz w:val="22"/>
          <w:szCs w:val="22"/>
        </w:rPr>
        <w:t>The first session is on September 7, and the last session is on October 14.</w:t>
      </w:r>
    </w:p>
    <w:p w14:paraId="1ADA4282" w14:textId="169FCAC5" w:rsidR="00571760" w:rsidRDefault="002759F2">
      <w:pPr>
        <w:pStyle w:val="NormalWeb"/>
      </w:pPr>
      <w:r w:rsidRPr="002759F2">
        <w:rPr>
          <w:rFonts w:ascii="Verdana" w:hAnsi="Verdana"/>
          <w:b/>
          <w:bCs/>
          <w:sz w:val="22"/>
          <w:szCs w:val="22"/>
        </w:rPr>
        <w:t>Venue:</w:t>
      </w:r>
      <w:r>
        <w:rPr>
          <w:rFonts w:ascii="Verdana" w:hAnsi="Verdana"/>
          <w:sz w:val="22"/>
          <w:szCs w:val="22"/>
        </w:rPr>
        <w:t xml:space="preserve"> </w:t>
      </w:r>
      <w:r w:rsidR="009935EB">
        <w:rPr>
          <w:rFonts w:ascii="Verdana" w:hAnsi="Verdana"/>
          <w:sz w:val="22"/>
          <w:szCs w:val="22"/>
        </w:rPr>
        <w:t xml:space="preserve">Uris Hall </w:t>
      </w:r>
      <w:r>
        <w:rPr>
          <w:rFonts w:ascii="Verdana" w:hAnsi="Verdana"/>
          <w:sz w:val="22"/>
          <w:szCs w:val="22"/>
        </w:rPr>
        <w:t>301</w:t>
      </w:r>
    </w:p>
    <w:p w14:paraId="42364361" w14:textId="60F3E153" w:rsidR="00571760" w:rsidRDefault="009935EB">
      <w:pPr>
        <w:pStyle w:val="NormalWeb"/>
        <w:rPr>
          <w:rFonts w:ascii="Verdana" w:hAnsi="Verdana"/>
        </w:rPr>
      </w:pPr>
      <w:r>
        <w:rPr>
          <w:rFonts w:ascii="Verdana" w:hAnsi="Verdana"/>
          <w:sz w:val="22"/>
          <w:szCs w:val="22"/>
        </w:rPr>
        <w:t xml:space="preserve">Office Hours: </w:t>
      </w:r>
      <w:r w:rsidR="002759F2">
        <w:rPr>
          <w:rFonts w:ascii="Verdana" w:hAnsi="Verdana"/>
          <w:sz w:val="22"/>
          <w:szCs w:val="22"/>
        </w:rPr>
        <w:t>by email appointment</w:t>
      </w:r>
    </w:p>
    <w:p w14:paraId="201C6A85" w14:textId="77777777" w:rsidR="001D694A" w:rsidRDefault="001D694A">
      <w:pPr>
        <w:pStyle w:val="NormalWeb"/>
        <w:rPr>
          <w:rFonts w:ascii="Verdana" w:hAnsi="Verdana"/>
          <w:b/>
          <w:bCs/>
          <w:color w:val="auto"/>
          <w:sz w:val="22"/>
          <w:szCs w:val="22"/>
          <w:u w:val="single"/>
        </w:rPr>
      </w:pPr>
    </w:p>
    <w:p w14:paraId="36C3A506" w14:textId="109ADCFC" w:rsidR="00571760" w:rsidRDefault="009935EB">
      <w:pPr>
        <w:pStyle w:val="NormalWeb"/>
        <w:rPr>
          <w:rFonts w:ascii="Verdana" w:hAnsi="Verdana"/>
        </w:rPr>
      </w:pPr>
      <w:r>
        <w:rPr>
          <w:rFonts w:ascii="Verdana" w:hAnsi="Verdana"/>
          <w:b/>
          <w:bCs/>
          <w:color w:val="auto"/>
          <w:sz w:val="22"/>
          <w:szCs w:val="22"/>
          <w:u w:val="single"/>
        </w:rPr>
        <w:t>General Course Information</w:t>
      </w:r>
      <w:r>
        <w:rPr>
          <w:rFonts w:ascii="Verdana" w:hAnsi="Verdana"/>
          <w:color w:val="auto"/>
          <w:sz w:val="22"/>
          <w:szCs w:val="22"/>
        </w:rPr>
        <w:br/>
      </w:r>
      <w:r>
        <w:rPr>
          <w:rFonts w:ascii="Verdana" w:hAnsi="Verdana"/>
          <w:b/>
          <w:bCs/>
          <w:sz w:val="22"/>
          <w:szCs w:val="22"/>
        </w:rPr>
        <w:br/>
        <w:t>Course Description</w:t>
      </w:r>
    </w:p>
    <w:p w14:paraId="0A9EA748" w14:textId="77777777" w:rsidR="00571760" w:rsidRDefault="009935EB">
      <w:pPr>
        <w:pStyle w:val="NormalWeb"/>
        <w:rPr>
          <w:rFonts w:ascii="Verdana" w:hAnsi="Verdana"/>
          <w:sz w:val="20"/>
          <w:szCs w:val="20"/>
        </w:rPr>
      </w:pPr>
      <w:r>
        <w:rPr>
          <w:rFonts w:ascii="Verdana" w:hAnsi="Verdana"/>
          <w:sz w:val="20"/>
          <w:szCs w:val="20"/>
        </w:rPr>
        <w:t xml:space="preserve">This course is a sequel to the core course Global Economic Environment. Building on the fundamentals introduced in that course, we develop a conceptual framework to explain the complex interactions between macroeconomic policy, asset prices and business cycle fluctuations. </w:t>
      </w:r>
    </w:p>
    <w:p w14:paraId="03842F4E" w14:textId="709A96F0" w:rsidR="00571760" w:rsidRDefault="009935EB">
      <w:pPr>
        <w:pStyle w:val="NormalWeb"/>
        <w:rPr>
          <w:rFonts w:ascii="Verdana" w:hAnsi="Verdana"/>
          <w:sz w:val="20"/>
          <w:szCs w:val="20"/>
        </w:rPr>
      </w:pPr>
      <w:r>
        <w:rPr>
          <w:rFonts w:ascii="Verdana" w:hAnsi="Verdana"/>
          <w:sz w:val="20"/>
          <w:szCs w:val="20"/>
        </w:rPr>
        <w:t xml:space="preserve">We examine in particular the determinants of key economic variables such as real output, inflation, employment, interest rates, exchange rates, and their interactions in today’s global economy. We examine the conduct and implementation of monetary </w:t>
      </w:r>
      <w:r w:rsidR="002759F2">
        <w:rPr>
          <w:rFonts w:ascii="Verdana" w:hAnsi="Verdana"/>
          <w:sz w:val="20"/>
          <w:szCs w:val="20"/>
        </w:rPr>
        <w:t>and fiscal policies</w:t>
      </w:r>
      <w:r>
        <w:rPr>
          <w:rFonts w:ascii="Verdana" w:hAnsi="Verdana"/>
          <w:sz w:val="20"/>
          <w:szCs w:val="20"/>
        </w:rPr>
        <w:t xml:space="preserve">, in the U.S. and </w:t>
      </w:r>
      <w:r w:rsidR="001B0126">
        <w:rPr>
          <w:rFonts w:ascii="Verdana" w:hAnsi="Verdana"/>
          <w:sz w:val="20"/>
          <w:szCs w:val="20"/>
        </w:rPr>
        <w:t>other</w:t>
      </w:r>
      <w:r>
        <w:rPr>
          <w:rFonts w:ascii="Verdana" w:hAnsi="Verdana"/>
          <w:sz w:val="20"/>
          <w:szCs w:val="20"/>
        </w:rPr>
        <w:t xml:space="preserve"> economies around the world. </w:t>
      </w:r>
    </w:p>
    <w:p w14:paraId="01177504" w14:textId="77777777" w:rsidR="00571760" w:rsidRDefault="009935EB">
      <w:pPr>
        <w:pStyle w:val="NormalWeb"/>
        <w:rPr>
          <w:rFonts w:ascii="Verdana" w:hAnsi="Verdana"/>
          <w:sz w:val="20"/>
          <w:szCs w:val="20"/>
        </w:rPr>
      </w:pPr>
      <w:r>
        <w:rPr>
          <w:rFonts w:ascii="Verdana" w:hAnsi="Verdana"/>
          <w:sz w:val="20"/>
          <w:szCs w:val="20"/>
        </w:rPr>
        <w:t>Since an important goal of this course is for students to become informed and sophisticated consumers of economic news, the issues discussed in this course draw heavily from current events and real-world examples.</w:t>
      </w:r>
    </w:p>
    <w:p w14:paraId="7BF0DE56" w14:textId="77777777" w:rsidR="00571760" w:rsidRDefault="009935EB">
      <w:pPr>
        <w:pStyle w:val="NormalWeb"/>
        <w:rPr>
          <w:rFonts w:ascii="Verdana" w:hAnsi="Verdana"/>
          <w:sz w:val="20"/>
          <w:szCs w:val="20"/>
          <w:shd w:val="clear" w:color="auto" w:fill="FFFFFF"/>
        </w:rPr>
      </w:pPr>
      <w:r>
        <w:rPr>
          <w:rFonts w:ascii="Verdana" w:hAnsi="Verdana"/>
          <w:i/>
          <w:sz w:val="20"/>
          <w:szCs w:val="20"/>
        </w:rPr>
        <w:t>Note</w:t>
      </w:r>
      <w:r>
        <w:rPr>
          <w:rFonts w:ascii="Verdana" w:hAnsi="Verdana"/>
          <w:sz w:val="20"/>
          <w:szCs w:val="20"/>
        </w:rPr>
        <w:t xml:space="preserve">: GEE II is a co-requisite for the course "Global Economic Environment III: Financial Markets and the Macroeconomy" (B8251). </w:t>
      </w:r>
      <w:r>
        <w:rPr>
          <w:rFonts w:ascii="Verdana" w:hAnsi="Verdana"/>
          <w:sz w:val="20"/>
          <w:szCs w:val="20"/>
          <w:shd w:val="clear" w:color="auto" w:fill="FFFFFF"/>
        </w:rPr>
        <w:t xml:space="preserve">GEE II may be taken </w:t>
      </w:r>
      <w:r>
        <w:rPr>
          <w:rFonts w:ascii="Verdana" w:hAnsi="Verdana"/>
          <w:i/>
          <w:sz w:val="20"/>
          <w:szCs w:val="20"/>
          <w:shd w:val="clear" w:color="auto" w:fill="FFFFFF"/>
        </w:rPr>
        <w:t>prior to or concurrently with</w:t>
      </w:r>
      <w:r>
        <w:rPr>
          <w:rFonts w:ascii="Verdana" w:hAnsi="Verdana"/>
          <w:sz w:val="20"/>
          <w:szCs w:val="20"/>
          <w:shd w:val="clear" w:color="auto" w:fill="FFFFFF"/>
        </w:rPr>
        <w:t xml:space="preserve"> </w:t>
      </w:r>
      <w:r>
        <w:rPr>
          <w:rFonts w:ascii="Verdana" w:hAnsi="Verdana"/>
          <w:color w:val="000000" w:themeColor="text1"/>
          <w:sz w:val="20"/>
          <w:szCs w:val="20"/>
          <w:shd w:val="clear" w:color="auto" w:fill="FFFFFF"/>
        </w:rPr>
        <w:t>the course GEE III (B8251)</w:t>
      </w:r>
      <w:r>
        <w:rPr>
          <w:rFonts w:ascii="Verdana" w:hAnsi="Verdana"/>
          <w:sz w:val="20"/>
          <w:szCs w:val="20"/>
          <w:shd w:val="clear" w:color="auto" w:fill="FFFFFF"/>
        </w:rPr>
        <w:t>.</w:t>
      </w:r>
    </w:p>
    <w:p w14:paraId="628E78CF" w14:textId="1F22CBCE" w:rsidR="00571760" w:rsidRDefault="009935EB">
      <w:pPr>
        <w:pStyle w:val="NormalWeb"/>
        <w:rPr>
          <w:rFonts w:ascii="Verdana" w:hAnsi="Verdana"/>
          <w:sz w:val="18"/>
          <w:szCs w:val="18"/>
          <w:shd w:val="clear" w:color="auto" w:fill="FFFFFF"/>
        </w:rPr>
      </w:pPr>
      <w:r>
        <w:rPr>
          <w:rFonts w:ascii="Verdana" w:hAnsi="Verdana"/>
          <w:sz w:val="18"/>
          <w:szCs w:val="18"/>
          <w:shd w:val="clear" w:color="auto" w:fill="FFFFFF"/>
        </w:rPr>
        <w:t xml:space="preserve">Knowledge of the GEE II material is only required for the second half of GEE III. Taking the two courses concurrently is not only possible, but has advantages. By taking GEE II in the A-term concurrently with GEE III, students will have this material fresh in their minds when they make use of it in the second half (B-term) </w:t>
      </w:r>
      <w:proofErr w:type="gramStart"/>
      <w:r>
        <w:rPr>
          <w:rFonts w:ascii="Verdana" w:hAnsi="Verdana"/>
          <w:sz w:val="18"/>
          <w:szCs w:val="18"/>
          <w:shd w:val="clear" w:color="auto" w:fill="FFFFFF"/>
        </w:rPr>
        <w:t>of  GEE</w:t>
      </w:r>
      <w:proofErr w:type="gramEnd"/>
      <w:r>
        <w:rPr>
          <w:rFonts w:ascii="Verdana" w:hAnsi="Verdana"/>
          <w:sz w:val="18"/>
          <w:szCs w:val="18"/>
          <w:shd w:val="clear" w:color="auto" w:fill="FFFFFF"/>
        </w:rPr>
        <w:t xml:space="preserve"> III.</w:t>
      </w:r>
    </w:p>
    <w:p w14:paraId="14F16159" w14:textId="0B306010" w:rsidR="00C872F4" w:rsidRDefault="00C872F4">
      <w:pPr>
        <w:pStyle w:val="NormalWeb"/>
        <w:rPr>
          <w:rFonts w:ascii="Verdana" w:hAnsi="Verdana"/>
          <w:sz w:val="18"/>
          <w:szCs w:val="18"/>
          <w:shd w:val="clear" w:color="auto" w:fill="FFFFFF"/>
        </w:rPr>
      </w:pPr>
    </w:p>
    <w:p w14:paraId="59E1F949" w14:textId="77777777" w:rsidR="00C872F4" w:rsidRDefault="00C872F4">
      <w:pPr>
        <w:pStyle w:val="NormalWeb"/>
        <w:rPr>
          <w:rFonts w:ascii="Verdana" w:hAnsi="Verdana"/>
          <w:sz w:val="18"/>
          <w:szCs w:val="18"/>
        </w:rPr>
      </w:pPr>
    </w:p>
    <w:p w14:paraId="0EBD946A" w14:textId="77777777" w:rsidR="00571760" w:rsidRPr="00C872F4" w:rsidRDefault="009935EB">
      <w:pPr>
        <w:pStyle w:val="NormalWeb"/>
        <w:rPr>
          <w:u w:val="single"/>
        </w:rPr>
      </w:pPr>
      <w:r w:rsidRPr="00C872F4">
        <w:rPr>
          <w:rFonts w:ascii="Verdana" w:hAnsi="Verdana"/>
          <w:b/>
          <w:bCs/>
          <w:sz w:val="22"/>
          <w:szCs w:val="22"/>
          <w:u w:val="single"/>
        </w:rPr>
        <w:lastRenderedPageBreak/>
        <w:t>Course Objectives</w:t>
      </w:r>
      <w:r w:rsidRPr="00C872F4">
        <w:rPr>
          <w:rFonts w:ascii="Verdana" w:hAnsi="Verdana"/>
          <w:sz w:val="22"/>
          <w:szCs w:val="22"/>
          <w:u w:val="single"/>
        </w:rPr>
        <w:t xml:space="preserve"> </w:t>
      </w:r>
    </w:p>
    <w:p w14:paraId="19F3599D" w14:textId="77777777" w:rsidR="00571760" w:rsidRDefault="009935EB">
      <w:pPr>
        <w:pStyle w:val="NormalWeb"/>
        <w:rPr>
          <w:rFonts w:ascii="Verdana" w:hAnsi="Verdana"/>
          <w:sz w:val="20"/>
          <w:szCs w:val="20"/>
        </w:rPr>
      </w:pPr>
      <w:r>
        <w:rPr>
          <w:rFonts w:ascii="Verdana" w:hAnsi="Verdana"/>
          <w:sz w:val="20"/>
          <w:szCs w:val="20"/>
        </w:rPr>
        <w:t xml:space="preserve">To acquire a solid theoretical and applied understanding of the macroeconomy and its relationship to financial markets and the economic environment in which firms operate. To develop a critical and sophisticated view of economic policy questions. </w:t>
      </w:r>
    </w:p>
    <w:p w14:paraId="27C18ADE" w14:textId="4D255D8E" w:rsidR="00571760" w:rsidRDefault="009935EB">
      <w:pPr>
        <w:rPr>
          <w:rFonts w:ascii="Verdana" w:eastAsia="Times New Roman" w:hAnsi="Verdana"/>
          <w:b/>
          <w:bCs/>
          <w:sz w:val="22"/>
          <w:szCs w:val="22"/>
          <w:u w:val="single"/>
        </w:rPr>
      </w:pPr>
      <w:r>
        <w:rPr>
          <w:rFonts w:ascii="Verdana" w:eastAsia="Times New Roman" w:hAnsi="Verdana"/>
          <w:b/>
          <w:bCs/>
          <w:sz w:val="22"/>
          <w:szCs w:val="22"/>
          <w:u w:val="single"/>
        </w:rPr>
        <w:t>Teaching Assistants</w:t>
      </w:r>
      <w:r>
        <w:rPr>
          <w:rFonts w:eastAsia="Times New Roman"/>
        </w:rPr>
        <w:t xml:space="preserve"> </w:t>
      </w:r>
    </w:p>
    <w:p w14:paraId="46F92E48" w14:textId="77777777" w:rsidR="00571760" w:rsidRDefault="00571760">
      <w:pPr>
        <w:pStyle w:val="NormalWeb"/>
        <w:spacing w:before="0" w:beforeAutospacing="0" w:after="0" w:afterAutospacing="0"/>
        <w:rPr>
          <w:rStyle w:val="gi"/>
          <w:sz w:val="20"/>
          <w:szCs w:val="20"/>
        </w:rPr>
      </w:pPr>
    </w:p>
    <w:p w14:paraId="60714C82" w14:textId="77777777" w:rsidR="00571760" w:rsidRDefault="00755199">
      <w:pPr>
        <w:pStyle w:val="NormalWeb"/>
        <w:spacing w:before="0" w:beforeAutospacing="0" w:after="0" w:afterAutospacing="0"/>
        <w:rPr>
          <w:rFonts w:cs="Arial"/>
          <w:color w:val="222222"/>
          <w:shd w:val="clear" w:color="auto" w:fill="FFFFFF"/>
        </w:rPr>
      </w:pPr>
      <w:r>
        <w:rPr>
          <w:rFonts w:ascii="Verdana" w:hAnsi="Verdana" w:cs="Arial"/>
          <w:color w:val="222222"/>
          <w:sz w:val="20"/>
          <w:szCs w:val="20"/>
          <w:shd w:val="clear" w:color="auto" w:fill="FFFFFF"/>
        </w:rPr>
        <w:t>TBD</w:t>
      </w:r>
    </w:p>
    <w:p w14:paraId="7590F496" w14:textId="77777777" w:rsidR="00571760" w:rsidRDefault="00571760">
      <w:pPr>
        <w:pStyle w:val="NormalWeb"/>
        <w:spacing w:before="0" w:beforeAutospacing="0" w:after="0" w:afterAutospacing="0"/>
        <w:rPr>
          <w:rFonts w:ascii="Verdana" w:hAnsi="Verdana" w:cs="Arial"/>
          <w:color w:val="222222"/>
          <w:shd w:val="clear" w:color="auto" w:fill="FFFFFF"/>
        </w:rPr>
      </w:pPr>
    </w:p>
    <w:p w14:paraId="550404C5" w14:textId="77777777" w:rsidR="00571760" w:rsidRDefault="009935EB">
      <w:pPr>
        <w:pStyle w:val="NormalWeb"/>
        <w:spacing w:before="0" w:beforeAutospacing="0" w:after="0" w:afterAutospacing="0"/>
        <w:rPr>
          <w:rFonts w:ascii="Verdana" w:hAnsi="Verdana"/>
          <w:sz w:val="22"/>
          <w:szCs w:val="22"/>
        </w:rPr>
      </w:pPr>
      <w:r>
        <w:rPr>
          <w:rFonts w:ascii="Verdana" w:hAnsi="Verdana"/>
          <w:b/>
          <w:bCs/>
          <w:sz w:val="22"/>
          <w:szCs w:val="22"/>
          <w:u w:val="single"/>
        </w:rPr>
        <w:t>Course Materials</w:t>
      </w:r>
    </w:p>
    <w:p w14:paraId="1637D129" w14:textId="793AF348" w:rsidR="00571760" w:rsidRDefault="009935EB">
      <w:pPr>
        <w:pStyle w:val="NormalWeb"/>
        <w:rPr>
          <w:rFonts w:ascii="Verdana" w:hAnsi="Verdana"/>
          <w:sz w:val="20"/>
          <w:szCs w:val="20"/>
        </w:rPr>
      </w:pPr>
      <w:r>
        <w:rPr>
          <w:rFonts w:ascii="Verdana" w:hAnsi="Verdana"/>
          <w:b/>
          <w:bCs/>
          <w:sz w:val="20"/>
          <w:szCs w:val="20"/>
        </w:rPr>
        <w:t>Recommended reading</w:t>
      </w:r>
      <w:r>
        <w:rPr>
          <w:rStyle w:val="Strong"/>
          <w:sz w:val="20"/>
          <w:szCs w:val="20"/>
        </w:rPr>
        <w:t>:</w:t>
      </w:r>
      <w:r>
        <w:rPr>
          <w:rFonts w:ascii="Verdana" w:hAnsi="Verdana"/>
          <w:sz w:val="20"/>
          <w:szCs w:val="20"/>
        </w:rPr>
        <w:t xml:space="preserve"> Parts 4 and 6 of </w:t>
      </w:r>
      <w:bookmarkStart w:id="0" w:name="OLE_LINK2"/>
      <w:bookmarkStart w:id="1" w:name="OLE_LINK1"/>
      <w:r>
        <w:rPr>
          <w:rFonts w:ascii="Verdana" w:hAnsi="Verdana"/>
          <w:b/>
          <w:bCs/>
          <w:color w:val="auto"/>
          <w:sz w:val="20"/>
          <w:szCs w:val="20"/>
        </w:rPr>
        <w:t>Macroeconomic</w:t>
      </w:r>
      <w:r>
        <w:rPr>
          <w:rStyle w:val="Strong"/>
          <w:color w:val="auto"/>
          <w:sz w:val="20"/>
          <w:szCs w:val="20"/>
        </w:rPr>
        <w:t>s: Policy and Practice</w:t>
      </w:r>
      <w:r>
        <w:rPr>
          <w:rFonts w:ascii="Verdana" w:hAnsi="Verdana"/>
          <w:sz w:val="20"/>
          <w:szCs w:val="20"/>
        </w:rPr>
        <w:t xml:space="preserve">, by Frederic S. Mishkin, </w:t>
      </w:r>
      <w:bookmarkEnd w:id="0"/>
      <w:bookmarkEnd w:id="1"/>
      <w:r>
        <w:rPr>
          <w:rFonts w:ascii="Verdana" w:hAnsi="Verdana"/>
          <w:sz w:val="20"/>
          <w:szCs w:val="20"/>
        </w:rPr>
        <w:t>2</w:t>
      </w:r>
      <w:r>
        <w:rPr>
          <w:rFonts w:ascii="Verdana" w:hAnsi="Verdana"/>
          <w:sz w:val="20"/>
          <w:szCs w:val="20"/>
          <w:vertAlign w:val="superscript"/>
        </w:rPr>
        <w:t>nd</w:t>
      </w:r>
      <w:r w:rsidR="002759F2">
        <w:rPr>
          <w:rFonts w:ascii="Verdana" w:hAnsi="Verdana"/>
          <w:sz w:val="20"/>
          <w:szCs w:val="20"/>
        </w:rPr>
        <w:t xml:space="preserve"> edition,</w:t>
      </w:r>
      <w:r>
        <w:rPr>
          <w:rFonts w:ascii="Verdana" w:hAnsi="Verdana"/>
          <w:sz w:val="20"/>
          <w:szCs w:val="20"/>
        </w:rPr>
        <w:t xml:space="preserve"> Publisher: Prentice Hall, 2014. Multiple copies of the textbook are on reserve at the Watson library in Uris hall.</w:t>
      </w:r>
    </w:p>
    <w:p w14:paraId="6593F914" w14:textId="42773DFA" w:rsidR="00C71834" w:rsidRDefault="00C71834">
      <w:pPr>
        <w:pStyle w:val="NormalWeb"/>
        <w:rPr>
          <w:rFonts w:ascii="Verdana" w:hAnsi="Verdana"/>
          <w:sz w:val="20"/>
          <w:szCs w:val="20"/>
        </w:rPr>
      </w:pPr>
      <w:r>
        <w:rPr>
          <w:rFonts w:ascii="Verdana" w:hAnsi="Verdana"/>
          <w:sz w:val="20"/>
          <w:szCs w:val="20"/>
        </w:rPr>
        <w:t xml:space="preserve">Alternatively, if you bought or are planning on buying the book </w:t>
      </w:r>
      <w:bookmarkStart w:id="2" w:name="OLE_LINK3"/>
      <w:r>
        <w:rPr>
          <w:rFonts w:ascii="Verdana" w:hAnsi="Verdana"/>
          <w:b/>
          <w:sz w:val="20"/>
          <w:szCs w:val="20"/>
        </w:rPr>
        <w:t>The Economics of Money, Banking, and Financial Markets</w:t>
      </w:r>
      <w:r>
        <w:rPr>
          <w:rFonts w:ascii="Verdana" w:hAnsi="Verdana"/>
          <w:sz w:val="20"/>
          <w:szCs w:val="20"/>
        </w:rPr>
        <w:t xml:space="preserve"> </w:t>
      </w:r>
      <w:bookmarkEnd w:id="2"/>
      <w:r>
        <w:rPr>
          <w:rFonts w:ascii="Verdana" w:hAnsi="Verdana"/>
          <w:sz w:val="20"/>
          <w:szCs w:val="20"/>
        </w:rPr>
        <w:t>(by Frederic S. Mishkin, 12</w:t>
      </w:r>
      <w:r>
        <w:rPr>
          <w:rFonts w:ascii="Verdana" w:hAnsi="Verdana"/>
          <w:sz w:val="20"/>
          <w:szCs w:val="20"/>
          <w:vertAlign w:val="superscript"/>
        </w:rPr>
        <w:t>th</w:t>
      </w:r>
      <w:r>
        <w:rPr>
          <w:rFonts w:ascii="Verdana" w:hAnsi="Verdana"/>
          <w:sz w:val="20"/>
          <w:szCs w:val="20"/>
        </w:rPr>
        <w:t xml:space="preserve"> edition, Publisher: Prentice Hall, 2014) for the course B8251, it contains almost all of the relevant readings and thus is sufficient for the purposes of this course.</w:t>
      </w:r>
    </w:p>
    <w:p w14:paraId="5514E8CF" w14:textId="77777777" w:rsidR="00571760" w:rsidRDefault="009935EB">
      <w:pPr>
        <w:pStyle w:val="NormalWeb"/>
      </w:pPr>
      <w:r>
        <w:rPr>
          <w:rFonts w:ascii="Verdana" w:hAnsi="Verdana"/>
          <w:b/>
          <w:bCs/>
          <w:sz w:val="20"/>
          <w:szCs w:val="20"/>
        </w:rPr>
        <w:t>Handouts:</w:t>
      </w:r>
      <w:r>
        <w:rPr>
          <w:rFonts w:ascii="Verdana" w:hAnsi="Verdana"/>
          <w:sz w:val="20"/>
          <w:szCs w:val="20"/>
        </w:rPr>
        <w:t xml:space="preserve"> Various handouts will be distributed throughout the semester to supplement the material covered in the book. These include class notes, supplemental readings, and newspaper articles. </w:t>
      </w:r>
    </w:p>
    <w:p w14:paraId="1E3436A0" w14:textId="77777777" w:rsidR="00571760" w:rsidRDefault="009935EB">
      <w:pPr>
        <w:pStyle w:val="NormalWeb"/>
        <w:spacing w:after="0" w:afterAutospacing="0"/>
      </w:pPr>
      <w:r>
        <w:rPr>
          <w:rFonts w:ascii="Verdana" w:hAnsi="Verdana"/>
          <w:sz w:val="20"/>
          <w:szCs w:val="20"/>
        </w:rPr>
        <w:t xml:space="preserve">In addition, you are encouraged to read the economics pages of at least one of the following publications on a regular basis: </w:t>
      </w:r>
      <w:r>
        <w:rPr>
          <w:rFonts w:ascii="Verdana" w:hAnsi="Verdana"/>
          <w:sz w:val="20"/>
          <w:szCs w:val="20"/>
        </w:rPr>
        <w:br/>
      </w:r>
      <w:r>
        <w:rPr>
          <w:rFonts w:ascii="Verdana" w:hAnsi="Verdana"/>
          <w:sz w:val="20"/>
          <w:szCs w:val="20"/>
        </w:rPr>
        <w:br/>
      </w:r>
      <w:hyperlink r:id="rId9" w:history="1">
        <w:r>
          <w:rPr>
            <w:rStyle w:val="Hyperlink"/>
            <w:rFonts w:ascii="Verdana" w:hAnsi="Verdana"/>
            <w:color w:val="0000FF"/>
            <w:sz w:val="20"/>
            <w:szCs w:val="20"/>
          </w:rPr>
          <w:t>The Economist</w:t>
        </w:r>
      </w:hyperlink>
      <w:r>
        <w:t xml:space="preserve"> </w:t>
      </w:r>
      <w:r>
        <w:br/>
      </w:r>
      <w:hyperlink r:id="rId10" w:history="1">
        <w:r>
          <w:rPr>
            <w:rStyle w:val="Hyperlink"/>
            <w:rFonts w:ascii="Verdana" w:hAnsi="Verdana"/>
            <w:color w:val="0000FF"/>
            <w:sz w:val="20"/>
            <w:szCs w:val="20"/>
          </w:rPr>
          <w:t>The</w:t>
        </w:r>
      </w:hyperlink>
      <w:r>
        <w:rPr>
          <w:rStyle w:val="Hyperlink"/>
          <w:rFonts w:ascii="Verdana" w:hAnsi="Verdana"/>
          <w:color w:val="0000FF"/>
          <w:sz w:val="20"/>
          <w:szCs w:val="20"/>
        </w:rPr>
        <w:t xml:space="preserve"> Wall Street Journal</w:t>
      </w:r>
    </w:p>
    <w:p w14:paraId="54206167" w14:textId="77777777" w:rsidR="00571760" w:rsidRDefault="006D1FD1">
      <w:pPr>
        <w:rPr>
          <w:rFonts w:eastAsia="Times New Roman"/>
        </w:rPr>
      </w:pPr>
      <w:hyperlink r:id="rId11" w:history="1">
        <w:r w:rsidR="009935EB">
          <w:rPr>
            <w:rStyle w:val="Hyperlink"/>
            <w:rFonts w:ascii="Verdana" w:hAnsi="Verdana"/>
            <w:color w:val="0000FF"/>
            <w:sz w:val="20"/>
            <w:szCs w:val="20"/>
          </w:rPr>
          <w:t>The Financial Times</w:t>
        </w:r>
      </w:hyperlink>
      <w:r w:rsidR="009935EB">
        <w:rPr>
          <w:color w:val="000000"/>
        </w:rPr>
        <w:t xml:space="preserve"> </w:t>
      </w:r>
      <w:r w:rsidR="009935EB">
        <w:rPr>
          <w:color w:val="000000"/>
        </w:rPr>
        <w:br/>
      </w:r>
      <w:hyperlink r:id="rId12" w:history="1">
        <w:r w:rsidR="009935EB">
          <w:rPr>
            <w:rStyle w:val="Hyperlink"/>
            <w:rFonts w:ascii="Verdana" w:hAnsi="Verdana"/>
            <w:color w:val="0000FF"/>
            <w:sz w:val="20"/>
            <w:szCs w:val="20"/>
          </w:rPr>
          <w:t>The New York Times</w:t>
        </w:r>
      </w:hyperlink>
      <w:r w:rsidR="009935EB">
        <w:rPr>
          <w:rFonts w:ascii="Verdana" w:hAnsi="Verdana"/>
          <w:sz w:val="20"/>
          <w:szCs w:val="20"/>
        </w:rPr>
        <w:t xml:space="preserve"> </w:t>
      </w:r>
    </w:p>
    <w:p w14:paraId="79459EFB" w14:textId="77777777" w:rsidR="00571760" w:rsidRDefault="009935EB">
      <w:pPr>
        <w:pStyle w:val="NormalWeb"/>
      </w:pPr>
      <w:r>
        <w:rPr>
          <w:rFonts w:ascii="Verdana" w:hAnsi="Verdana"/>
          <w:b/>
          <w:bCs/>
          <w:color w:val="auto"/>
          <w:sz w:val="22"/>
          <w:szCs w:val="22"/>
          <w:u w:val="single"/>
        </w:rPr>
        <w:t>Course Requirements and Grading</w:t>
      </w:r>
    </w:p>
    <w:p w14:paraId="7EF0F8F8" w14:textId="77777777" w:rsidR="00571760" w:rsidRDefault="009935EB">
      <w:pPr>
        <w:pStyle w:val="NormalWeb"/>
      </w:pPr>
      <w:r>
        <w:rPr>
          <w:rFonts w:ascii="Verdana" w:hAnsi="Verdana"/>
          <w:b/>
          <w:bCs/>
          <w:sz w:val="20"/>
          <w:szCs w:val="20"/>
        </w:rPr>
        <w:t>Lectures</w:t>
      </w:r>
      <w:r>
        <w:rPr>
          <w:rFonts w:ascii="Verdana" w:hAnsi="Verdana"/>
          <w:sz w:val="20"/>
          <w:szCs w:val="20"/>
        </w:rPr>
        <w:t xml:space="preserve"> </w:t>
      </w:r>
      <w:r>
        <w:rPr>
          <w:rFonts w:ascii="Verdana" w:hAnsi="Verdana"/>
          <w:sz w:val="20"/>
          <w:szCs w:val="20"/>
        </w:rPr>
        <w:br/>
        <w:t>There will be 12 classes. The last class will be used for an in-class exam. See the calendar on Canvas for the schedule.</w:t>
      </w:r>
    </w:p>
    <w:p w14:paraId="7D8C309C" w14:textId="06021E04" w:rsidR="00571760" w:rsidRDefault="009935EB">
      <w:pPr>
        <w:pStyle w:val="NormalWeb"/>
        <w:rPr>
          <w:rFonts w:ascii="Verdana" w:hAnsi="Verdana"/>
          <w:bCs/>
          <w:sz w:val="20"/>
          <w:szCs w:val="20"/>
        </w:rPr>
      </w:pPr>
      <w:r>
        <w:rPr>
          <w:rFonts w:ascii="Verdana" w:hAnsi="Verdana"/>
          <w:b/>
          <w:bCs/>
          <w:sz w:val="20"/>
          <w:szCs w:val="20"/>
        </w:rPr>
        <w:t>Friday Review Sessions (optional)</w:t>
      </w:r>
      <w:r>
        <w:rPr>
          <w:rFonts w:ascii="Verdana" w:hAnsi="Verdana"/>
          <w:bCs/>
          <w:sz w:val="20"/>
          <w:szCs w:val="20"/>
        </w:rPr>
        <w:br/>
      </w:r>
      <w:r>
        <w:rPr>
          <w:rFonts w:ascii="Verdana" w:hAnsi="Verdana"/>
          <w:i/>
          <w:color w:val="808080" w:themeColor="background1" w:themeShade="80"/>
          <w:sz w:val="20"/>
          <w:szCs w:val="20"/>
        </w:rPr>
        <w:t>See the calendar on Canvas for the schedule</w:t>
      </w:r>
      <w:r>
        <w:rPr>
          <w:rFonts w:ascii="Verdana" w:hAnsi="Verdana"/>
          <w:b/>
          <w:bCs/>
          <w:sz w:val="20"/>
          <w:szCs w:val="20"/>
        </w:rPr>
        <w:br/>
      </w:r>
      <w:r>
        <w:rPr>
          <w:rFonts w:ascii="Verdana" w:hAnsi="Verdana"/>
          <w:sz w:val="20"/>
          <w:szCs w:val="20"/>
        </w:rPr>
        <w:t xml:space="preserve">Optional review sessions will be held on Fridays.  </w:t>
      </w:r>
      <w:r>
        <w:rPr>
          <w:rFonts w:ascii="Verdana" w:hAnsi="Verdana"/>
          <w:i/>
          <w:iCs/>
          <w:sz w:val="20"/>
          <w:szCs w:val="20"/>
        </w:rPr>
        <w:t>No</w:t>
      </w:r>
      <w:r>
        <w:rPr>
          <w:rFonts w:ascii="Verdana" w:hAnsi="Verdana"/>
          <w:b/>
          <w:bCs/>
          <w:sz w:val="20"/>
          <w:szCs w:val="20"/>
        </w:rPr>
        <w:t xml:space="preserve"> </w:t>
      </w:r>
      <w:r>
        <w:rPr>
          <w:rFonts w:ascii="Verdana" w:hAnsi="Verdana"/>
          <w:i/>
          <w:iCs/>
          <w:sz w:val="20"/>
          <w:szCs w:val="20"/>
        </w:rPr>
        <w:t>new material will be presented in this session; it will simply serve to review important material covered in class.</w:t>
      </w:r>
      <w:r>
        <w:rPr>
          <w:rFonts w:ascii="Verdana" w:hAnsi="Verdana"/>
          <w:b/>
          <w:bCs/>
          <w:sz w:val="20"/>
          <w:szCs w:val="20"/>
        </w:rPr>
        <w:t xml:space="preserve"> </w:t>
      </w:r>
      <w:r>
        <w:rPr>
          <w:rFonts w:ascii="Verdana" w:hAnsi="Verdana"/>
          <w:sz w:val="20"/>
          <w:szCs w:val="20"/>
        </w:rPr>
        <w:t>Th</w:t>
      </w:r>
      <w:r w:rsidR="002759F2">
        <w:rPr>
          <w:rFonts w:ascii="Verdana" w:hAnsi="Verdana"/>
          <w:sz w:val="20"/>
          <w:szCs w:val="20"/>
        </w:rPr>
        <w:t>e</w:t>
      </w:r>
      <w:r>
        <w:rPr>
          <w:rFonts w:ascii="Verdana" w:hAnsi="Verdana"/>
          <w:sz w:val="20"/>
          <w:szCs w:val="20"/>
        </w:rPr>
        <w:t xml:space="preserve"> last review session, just before the final exam, will constitute an overall review of the material covered in the course. During these sessions, the TAs will review key concepts seen in class and go over some of the homework problems. They will also be available to answer your questions. </w:t>
      </w:r>
    </w:p>
    <w:p w14:paraId="0631CDE2" w14:textId="554E9AE6" w:rsidR="00571760" w:rsidRDefault="009935EB">
      <w:pPr>
        <w:pStyle w:val="NormalWeb"/>
      </w:pPr>
      <w:r>
        <w:rPr>
          <w:rFonts w:ascii="Verdana" w:hAnsi="Verdana"/>
          <w:b/>
          <w:bCs/>
          <w:sz w:val="20"/>
          <w:szCs w:val="20"/>
        </w:rPr>
        <w:t>Student debates</w:t>
      </w:r>
      <w:r>
        <w:rPr>
          <w:rFonts w:ascii="Verdana" w:hAnsi="Verdana"/>
          <w:sz w:val="20"/>
          <w:szCs w:val="20"/>
        </w:rPr>
        <w:t xml:space="preserve"> </w:t>
      </w:r>
      <w:r>
        <w:rPr>
          <w:rFonts w:ascii="Verdana" w:hAnsi="Verdana"/>
          <w:sz w:val="20"/>
          <w:szCs w:val="20"/>
        </w:rPr>
        <w:br/>
        <w:t xml:space="preserve">Over the course of the term, there will be </w:t>
      </w:r>
      <w:r w:rsidR="002759F2">
        <w:rPr>
          <w:rFonts w:ascii="Verdana" w:hAnsi="Verdana"/>
          <w:sz w:val="20"/>
          <w:szCs w:val="20"/>
        </w:rPr>
        <w:t>several</w:t>
      </w:r>
      <w:r>
        <w:rPr>
          <w:rFonts w:ascii="Verdana" w:hAnsi="Verdana"/>
          <w:sz w:val="20"/>
          <w:szCs w:val="20"/>
        </w:rPr>
        <w:t xml:space="preserve"> student debates (assignment </w:t>
      </w:r>
      <w:r>
        <w:rPr>
          <w:rFonts w:ascii="Verdana" w:hAnsi="Verdana"/>
          <w:b/>
          <w:bCs/>
          <w:sz w:val="20"/>
          <w:szCs w:val="20"/>
        </w:rPr>
        <w:t>type A</w:t>
      </w:r>
      <w:r>
        <w:rPr>
          <w:rFonts w:ascii="Verdana" w:hAnsi="Verdana"/>
          <w:sz w:val="20"/>
          <w:szCs w:val="20"/>
        </w:rPr>
        <w:t xml:space="preserve">). Each debate will take place in class and will last </w:t>
      </w:r>
      <w:r w:rsidR="002759F2">
        <w:rPr>
          <w:rFonts w:ascii="Verdana" w:hAnsi="Verdana"/>
          <w:sz w:val="20"/>
          <w:szCs w:val="20"/>
        </w:rPr>
        <w:t>20</w:t>
      </w:r>
      <w:r>
        <w:rPr>
          <w:rFonts w:ascii="Verdana" w:hAnsi="Verdana"/>
          <w:sz w:val="20"/>
          <w:szCs w:val="20"/>
        </w:rPr>
        <w:t xml:space="preserve"> minutes. It will involve two student teams who are asked to take a pro or con position on a topic related to the course. Each group will present its position in </w:t>
      </w:r>
      <w:r w:rsidR="002759F2">
        <w:rPr>
          <w:rFonts w:ascii="Verdana" w:hAnsi="Verdana"/>
          <w:sz w:val="20"/>
          <w:szCs w:val="20"/>
        </w:rPr>
        <w:t>4</w:t>
      </w:r>
      <w:r>
        <w:rPr>
          <w:rFonts w:ascii="Verdana" w:hAnsi="Verdana"/>
          <w:sz w:val="20"/>
          <w:szCs w:val="20"/>
        </w:rPr>
        <w:t xml:space="preserve"> minutes, followed by a </w:t>
      </w:r>
      <w:r>
        <w:rPr>
          <w:rFonts w:ascii="Verdana" w:hAnsi="Verdana" w:cs="Arial"/>
          <w:sz w:val="20"/>
          <w:szCs w:val="20"/>
        </w:rPr>
        <w:t xml:space="preserve">2-minute rebuttal to the rival group’s point and </w:t>
      </w:r>
      <w:proofErr w:type="gramStart"/>
      <w:r>
        <w:rPr>
          <w:rFonts w:ascii="Verdana" w:hAnsi="Verdana" w:cs="Arial"/>
          <w:sz w:val="20"/>
          <w:szCs w:val="20"/>
        </w:rPr>
        <w:t>a</w:t>
      </w:r>
      <w:proofErr w:type="gramEnd"/>
      <w:r>
        <w:rPr>
          <w:rFonts w:ascii="Verdana" w:hAnsi="Verdana" w:cs="Arial"/>
          <w:sz w:val="20"/>
          <w:szCs w:val="20"/>
        </w:rPr>
        <w:t xml:space="preserve"> </w:t>
      </w:r>
      <w:r w:rsidR="00AB7A7E">
        <w:rPr>
          <w:rFonts w:ascii="Verdana" w:hAnsi="Verdana" w:cs="Arial"/>
          <w:sz w:val="20"/>
          <w:szCs w:val="20"/>
        </w:rPr>
        <w:t>8</w:t>
      </w:r>
      <w:r>
        <w:rPr>
          <w:rFonts w:ascii="Verdana" w:hAnsi="Verdana" w:cs="Arial"/>
          <w:sz w:val="20"/>
          <w:szCs w:val="20"/>
        </w:rPr>
        <w:t>-minute class discussion</w:t>
      </w:r>
      <w:r>
        <w:t xml:space="preserve">. </w:t>
      </w:r>
      <w:r>
        <w:rPr>
          <w:rFonts w:ascii="Verdana" w:hAnsi="Verdana"/>
          <w:sz w:val="20"/>
          <w:szCs w:val="20"/>
        </w:rPr>
        <w:t xml:space="preserve">The schedule, groups, a list of topics, as well as background material and guidelines for the preparation of the presentation </w:t>
      </w:r>
      <w:r w:rsidR="00AB7A7E">
        <w:rPr>
          <w:rFonts w:ascii="Verdana" w:hAnsi="Verdana"/>
          <w:sz w:val="20"/>
          <w:szCs w:val="20"/>
        </w:rPr>
        <w:t>will</w:t>
      </w:r>
      <w:r>
        <w:rPr>
          <w:rFonts w:ascii="Verdana" w:hAnsi="Verdana"/>
          <w:sz w:val="20"/>
          <w:szCs w:val="20"/>
        </w:rPr>
        <w:t xml:space="preserve"> be </w:t>
      </w:r>
      <w:r w:rsidR="00AB7A7E">
        <w:rPr>
          <w:rFonts w:ascii="Verdana" w:hAnsi="Verdana"/>
          <w:sz w:val="20"/>
          <w:szCs w:val="20"/>
        </w:rPr>
        <w:t>posted</w:t>
      </w:r>
      <w:r>
        <w:rPr>
          <w:rFonts w:ascii="Verdana" w:hAnsi="Verdana"/>
          <w:sz w:val="20"/>
          <w:szCs w:val="20"/>
        </w:rPr>
        <w:t xml:space="preserve"> on Canvas. </w:t>
      </w:r>
    </w:p>
    <w:p w14:paraId="764940FD" w14:textId="294E7AAE" w:rsidR="00571760" w:rsidRPr="00C872F4" w:rsidRDefault="009935EB" w:rsidP="00C872F4">
      <w:pPr>
        <w:rPr>
          <w:rFonts w:ascii="Verdana" w:hAnsi="Verdana"/>
          <w:b/>
          <w:bCs/>
          <w:color w:val="000000"/>
          <w:sz w:val="20"/>
          <w:szCs w:val="20"/>
        </w:rPr>
      </w:pPr>
      <w:r>
        <w:rPr>
          <w:rFonts w:ascii="Verdana" w:hAnsi="Verdana"/>
          <w:b/>
          <w:bCs/>
          <w:color w:val="222222"/>
          <w:sz w:val="20"/>
          <w:szCs w:val="20"/>
        </w:rPr>
        <w:br w:type="page"/>
      </w:r>
      <w:r>
        <w:rPr>
          <w:rFonts w:ascii="Verdana" w:hAnsi="Verdana"/>
          <w:b/>
          <w:bCs/>
          <w:sz w:val="20"/>
          <w:szCs w:val="20"/>
        </w:rPr>
        <w:lastRenderedPageBreak/>
        <w:t>Cases</w:t>
      </w:r>
      <w:r>
        <w:rPr>
          <w:rFonts w:ascii="Verdana" w:hAnsi="Verdana"/>
          <w:sz w:val="20"/>
          <w:szCs w:val="20"/>
        </w:rPr>
        <w:br/>
        <w:t xml:space="preserve">There </w:t>
      </w:r>
      <w:r w:rsidR="00C872F4">
        <w:rPr>
          <w:rFonts w:ascii="Verdana" w:hAnsi="Verdana"/>
          <w:sz w:val="20"/>
          <w:szCs w:val="20"/>
        </w:rPr>
        <w:t>will be two</w:t>
      </w:r>
      <w:r>
        <w:rPr>
          <w:rFonts w:ascii="Verdana" w:hAnsi="Verdana"/>
          <w:sz w:val="20"/>
          <w:szCs w:val="20"/>
        </w:rPr>
        <w:t xml:space="preserve"> case assignments, which consist of questions to be written up as well as questions to be prepared for general class discussion. These will be done </w:t>
      </w:r>
      <w:r>
        <w:rPr>
          <w:rStyle w:val="Strong"/>
          <w:sz w:val="20"/>
          <w:szCs w:val="20"/>
        </w:rPr>
        <w:t>in groups</w:t>
      </w:r>
      <w:r>
        <w:rPr>
          <w:rFonts w:ascii="Verdana" w:hAnsi="Verdana"/>
          <w:sz w:val="20"/>
          <w:szCs w:val="20"/>
        </w:rPr>
        <w:t xml:space="preserve"> (assignment </w:t>
      </w:r>
      <w:r>
        <w:rPr>
          <w:rFonts w:ascii="Verdana" w:hAnsi="Verdana"/>
          <w:b/>
          <w:bCs/>
          <w:sz w:val="20"/>
          <w:szCs w:val="20"/>
        </w:rPr>
        <w:t>type A</w:t>
      </w:r>
      <w:r>
        <w:rPr>
          <w:rFonts w:ascii="Verdana" w:hAnsi="Verdana"/>
          <w:sz w:val="20"/>
          <w:szCs w:val="20"/>
        </w:rPr>
        <w:t>). Only one write-up per group needs to be handed in electronically on Canvas, before the beginning of the lecture. Late cases will not be accepted. All group members should be prepared to discuss the answers in class.</w:t>
      </w:r>
    </w:p>
    <w:p w14:paraId="734F31C1" w14:textId="77777777" w:rsidR="00571760" w:rsidRDefault="009935EB">
      <w:pPr>
        <w:pStyle w:val="NormalWeb"/>
        <w:rPr>
          <w:rFonts w:ascii="Verdana" w:hAnsi="Verdana"/>
          <w:color w:val="auto"/>
          <w:sz w:val="20"/>
          <w:szCs w:val="20"/>
        </w:rPr>
      </w:pPr>
      <w:r>
        <w:rPr>
          <w:rFonts w:ascii="Verdana" w:hAnsi="Verdana"/>
          <w:b/>
          <w:bCs/>
          <w:sz w:val="20"/>
          <w:szCs w:val="20"/>
        </w:rPr>
        <w:t>Problem sets</w:t>
      </w:r>
      <w:r>
        <w:rPr>
          <w:rFonts w:ascii="Verdana" w:hAnsi="Verdana"/>
          <w:sz w:val="20"/>
          <w:szCs w:val="20"/>
        </w:rPr>
        <w:br/>
        <w:t>With the goal of providing you with a better understanding and a greater appreciation of the concepts and tools covered in this course, I will assign two problem sets. These will constitute a useful preparation for the exam. You must hand in the problem sets electronically on Canvas (</w:t>
      </w:r>
      <w:r w:rsidR="00BB2582">
        <w:rPr>
          <w:rFonts w:ascii="Verdana" w:hAnsi="Verdana"/>
          <w:sz w:val="20"/>
          <w:szCs w:val="20"/>
        </w:rPr>
        <w:t>hand-drawn graphs are acceptable</w:t>
      </w:r>
      <w:r>
        <w:rPr>
          <w:rFonts w:ascii="Verdana" w:hAnsi="Verdana"/>
          <w:sz w:val="20"/>
          <w:szCs w:val="20"/>
        </w:rPr>
        <w:t xml:space="preserve">) and answers will be posted soon after. You may consult with your classmates for these problem sets, but each student should hand in his or her own </w:t>
      </w:r>
      <w:r>
        <w:rPr>
          <w:rStyle w:val="Strong"/>
          <w:sz w:val="20"/>
          <w:szCs w:val="20"/>
        </w:rPr>
        <w:t>independently written</w:t>
      </w:r>
      <w:r>
        <w:rPr>
          <w:rFonts w:ascii="Verdana" w:hAnsi="Verdana"/>
          <w:sz w:val="20"/>
          <w:szCs w:val="20"/>
        </w:rPr>
        <w:t xml:space="preserve"> answers (assignment </w:t>
      </w:r>
      <w:r>
        <w:rPr>
          <w:rFonts w:ascii="Verdana" w:hAnsi="Verdana"/>
          <w:b/>
          <w:bCs/>
          <w:sz w:val="20"/>
          <w:szCs w:val="20"/>
        </w:rPr>
        <w:t>type B</w:t>
      </w:r>
      <w:r>
        <w:rPr>
          <w:rFonts w:ascii="Verdana" w:hAnsi="Verdana"/>
          <w:sz w:val="20"/>
          <w:szCs w:val="20"/>
        </w:rPr>
        <w:t>). No answers to problem sets should be exchanged physically or electronically. Late problem sets will not be accepted.</w:t>
      </w:r>
      <w:r>
        <w:rPr>
          <w:rFonts w:ascii="Verdana" w:hAnsi="Verdana"/>
          <w:color w:val="auto"/>
          <w:sz w:val="20"/>
          <w:szCs w:val="20"/>
        </w:rPr>
        <w:t xml:space="preserve"> </w:t>
      </w:r>
    </w:p>
    <w:p w14:paraId="40349F17" w14:textId="77777777" w:rsidR="00571760" w:rsidRDefault="009935EB">
      <w:pPr>
        <w:pStyle w:val="NormalWeb"/>
        <w:spacing w:before="0" w:beforeAutospacing="0" w:after="0" w:afterAutospacing="0"/>
        <w:rPr>
          <w:rFonts w:ascii="Verdana" w:hAnsi="Verdana"/>
          <w:sz w:val="20"/>
          <w:szCs w:val="20"/>
        </w:rPr>
      </w:pPr>
      <w:r>
        <w:rPr>
          <w:rFonts w:ascii="Verdana" w:hAnsi="Verdana"/>
          <w:b/>
          <w:color w:val="auto"/>
          <w:sz w:val="20"/>
          <w:szCs w:val="20"/>
        </w:rPr>
        <w:t>Participation</w:t>
      </w:r>
      <w:r>
        <w:rPr>
          <w:rFonts w:ascii="Verdana" w:hAnsi="Verdana"/>
          <w:color w:val="auto"/>
          <w:sz w:val="20"/>
          <w:szCs w:val="20"/>
        </w:rPr>
        <w:br/>
      </w:r>
      <w:r>
        <w:rPr>
          <w:rFonts w:ascii="Verdana" w:hAnsi="Verdana"/>
          <w:sz w:val="20"/>
          <w:szCs w:val="20"/>
        </w:rPr>
        <w:t>You are expected to contribute to the learning of your classmates through constructive class discussion. Good participation is defined as:</w:t>
      </w:r>
    </w:p>
    <w:p w14:paraId="3DC81770" w14:textId="77777777" w:rsidR="00571760" w:rsidRDefault="009935EB">
      <w:pPr>
        <w:pStyle w:val="NormalWeb"/>
        <w:numPr>
          <w:ilvl w:val="0"/>
          <w:numId w:val="2"/>
        </w:numPr>
        <w:spacing w:before="0" w:beforeAutospacing="0" w:after="0" w:afterAutospacing="0"/>
        <w:rPr>
          <w:rFonts w:ascii="Verdana" w:hAnsi="Verdana"/>
          <w:sz w:val="20"/>
          <w:szCs w:val="20"/>
        </w:rPr>
      </w:pPr>
      <w:r>
        <w:rPr>
          <w:rFonts w:ascii="Verdana" w:hAnsi="Verdana"/>
          <w:sz w:val="20"/>
          <w:szCs w:val="20"/>
        </w:rPr>
        <w:t>Being on time and present in each class.</w:t>
      </w:r>
    </w:p>
    <w:p w14:paraId="4037F49C" w14:textId="77777777" w:rsidR="00571760" w:rsidRDefault="009935EB">
      <w:pPr>
        <w:pStyle w:val="NormalWeb"/>
        <w:numPr>
          <w:ilvl w:val="0"/>
          <w:numId w:val="2"/>
        </w:numPr>
        <w:spacing w:before="0" w:beforeAutospacing="0" w:after="0" w:afterAutospacing="0"/>
        <w:rPr>
          <w:rFonts w:ascii="Verdana" w:hAnsi="Verdana"/>
          <w:sz w:val="20"/>
          <w:szCs w:val="20"/>
        </w:rPr>
      </w:pPr>
      <w:r>
        <w:rPr>
          <w:rFonts w:ascii="Verdana" w:hAnsi="Verdana"/>
          <w:sz w:val="20"/>
          <w:szCs w:val="20"/>
        </w:rPr>
        <w:t xml:space="preserve">Actively participate in class discussions, pulling in insights from readings and the news. </w:t>
      </w:r>
    </w:p>
    <w:p w14:paraId="3DAFE51B" w14:textId="77777777" w:rsidR="00571760" w:rsidRDefault="009935EB">
      <w:pPr>
        <w:pStyle w:val="NormalWeb"/>
        <w:numPr>
          <w:ilvl w:val="0"/>
          <w:numId w:val="2"/>
        </w:numPr>
        <w:spacing w:before="0" w:beforeAutospacing="0" w:after="0" w:afterAutospacing="0"/>
        <w:rPr>
          <w:rFonts w:ascii="Verdana" w:hAnsi="Verdana"/>
          <w:sz w:val="20"/>
          <w:szCs w:val="20"/>
        </w:rPr>
      </w:pPr>
      <w:r>
        <w:rPr>
          <w:rFonts w:ascii="Verdana" w:hAnsi="Verdana"/>
          <w:sz w:val="20"/>
          <w:szCs w:val="20"/>
        </w:rPr>
        <w:t>Arrive prepared to class and expect cold calling.</w:t>
      </w:r>
    </w:p>
    <w:p w14:paraId="1FF50DE2" w14:textId="77777777" w:rsidR="00571760" w:rsidRDefault="009935EB">
      <w:pPr>
        <w:pStyle w:val="NormalWeb"/>
        <w:numPr>
          <w:ilvl w:val="0"/>
          <w:numId w:val="2"/>
        </w:numPr>
        <w:spacing w:before="0" w:beforeAutospacing="0" w:after="0" w:afterAutospacing="0"/>
        <w:rPr>
          <w:rFonts w:ascii="Verdana" w:hAnsi="Verdana"/>
          <w:sz w:val="20"/>
          <w:szCs w:val="20"/>
        </w:rPr>
      </w:pPr>
      <w:r>
        <w:rPr>
          <w:rFonts w:ascii="Verdana" w:hAnsi="Verdana"/>
          <w:sz w:val="20"/>
          <w:szCs w:val="20"/>
        </w:rPr>
        <w:t>No usage of electronic devices.</w:t>
      </w:r>
    </w:p>
    <w:p w14:paraId="17225F1C" w14:textId="41559FD2" w:rsidR="00571760" w:rsidRDefault="009935EB">
      <w:pPr>
        <w:pStyle w:val="NormalWeb"/>
      </w:pPr>
      <w:r>
        <w:rPr>
          <w:rFonts w:ascii="Verdana" w:hAnsi="Verdana"/>
          <w:b/>
          <w:bCs/>
          <w:sz w:val="20"/>
          <w:szCs w:val="20"/>
        </w:rPr>
        <w:t>Exam</w:t>
      </w:r>
      <w:r>
        <w:rPr>
          <w:rFonts w:ascii="Verdana" w:hAnsi="Verdana"/>
          <w:sz w:val="20"/>
          <w:szCs w:val="20"/>
        </w:rPr>
        <w:br/>
        <w:t xml:space="preserve">There will be a final examination. The final exam will take place on </w:t>
      </w:r>
      <w:r w:rsidR="00AB7A7E">
        <w:rPr>
          <w:rFonts w:ascii="Verdana" w:hAnsi="Verdana"/>
          <w:b/>
          <w:sz w:val="20"/>
          <w:szCs w:val="20"/>
        </w:rPr>
        <w:t>Thursday</w:t>
      </w:r>
      <w:r>
        <w:rPr>
          <w:rFonts w:ascii="Verdana" w:hAnsi="Verdana"/>
          <w:b/>
          <w:sz w:val="20"/>
          <w:szCs w:val="20"/>
        </w:rPr>
        <w:t xml:space="preserve"> </w:t>
      </w:r>
      <w:r w:rsidR="00AB7A7E">
        <w:rPr>
          <w:rFonts w:ascii="Verdana" w:hAnsi="Verdana"/>
          <w:b/>
          <w:sz w:val="20"/>
          <w:szCs w:val="20"/>
        </w:rPr>
        <w:t>October 14</w:t>
      </w:r>
      <w:r>
        <w:rPr>
          <w:rFonts w:ascii="Verdana" w:hAnsi="Verdana"/>
          <w:sz w:val="20"/>
          <w:szCs w:val="20"/>
        </w:rPr>
        <w:t xml:space="preserve"> (in-class exam, same time and location of other classes). This exam will be </w:t>
      </w:r>
      <w:r>
        <w:rPr>
          <w:rFonts w:ascii="Verdana" w:hAnsi="Verdana"/>
          <w:b/>
          <w:bCs/>
          <w:sz w:val="20"/>
          <w:szCs w:val="20"/>
        </w:rPr>
        <w:t>closed book,</w:t>
      </w:r>
      <w:r>
        <w:rPr>
          <w:rFonts w:ascii="Verdana" w:hAnsi="Verdana"/>
          <w:sz w:val="20"/>
          <w:szCs w:val="20"/>
        </w:rPr>
        <w:t xml:space="preserve"> however two double-sided (8 ½"-11") "cheat-sheets" will be allowed. These may contain any notes you choose to write on them. Final exams will not be returned, but will be available for reviewing after the end of the semester.</w:t>
      </w:r>
    </w:p>
    <w:p w14:paraId="1CA77E01" w14:textId="77777777" w:rsidR="00571760" w:rsidRDefault="009935EB">
      <w:pPr>
        <w:pStyle w:val="NormalWeb"/>
        <w:spacing w:before="0" w:beforeAutospacing="0" w:after="0" w:afterAutospacing="0"/>
        <w:rPr>
          <w:rFonts w:ascii="Verdana" w:hAnsi="Verdana"/>
          <w:color w:val="auto"/>
          <w:sz w:val="22"/>
          <w:szCs w:val="22"/>
        </w:rPr>
      </w:pPr>
      <w:r>
        <w:rPr>
          <w:rStyle w:val="Emphasis"/>
          <w:rFonts w:ascii="Verdana" w:hAnsi="Verdana"/>
          <w:b/>
          <w:bCs/>
          <w:sz w:val="20"/>
          <w:szCs w:val="20"/>
        </w:rPr>
        <w:t xml:space="preserve">Regrade policy: </w:t>
      </w:r>
      <w:r>
        <w:rPr>
          <w:rStyle w:val="Emphasis"/>
          <w:rFonts w:ascii="Verdana" w:hAnsi="Verdana"/>
          <w:sz w:val="20"/>
          <w:szCs w:val="20"/>
        </w:rPr>
        <w:t xml:space="preserve">All requests for fixing grading errors must be submitted to me in writing within one week after the grades are posted, and must be very specific. If you ask to fix a grading error, we have the option to </w:t>
      </w:r>
      <w:r>
        <w:rPr>
          <w:rFonts w:ascii="Verdana" w:hAnsi="Verdana"/>
          <w:i/>
          <w:iCs/>
          <w:sz w:val="20"/>
          <w:szCs w:val="20"/>
        </w:rPr>
        <w:t>regrade</w:t>
      </w:r>
      <w:r>
        <w:rPr>
          <w:rStyle w:val="Emphasis"/>
          <w:rFonts w:ascii="Verdana" w:hAnsi="Verdana"/>
          <w:sz w:val="20"/>
          <w:szCs w:val="20"/>
        </w:rPr>
        <w:t xml:space="preserve"> your entire exam.</w:t>
      </w:r>
      <w:r>
        <w:rPr>
          <w:rFonts w:ascii="Verdana" w:hAnsi="Verdana"/>
          <w:color w:val="auto"/>
          <w:sz w:val="22"/>
          <w:szCs w:val="22"/>
        </w:rPr>
        <w:t xml:space="preserve"> </w:t>
      </w:r>
    </w:p>
    <w:p w14:paraId="6099B51E" w14:textId="77777777" w:rsidR="00571760" w:rsidRDefault="00571760">
      <w:pPr>
        <w:pStyle w:val="NormalWeb"/>
        <w:spacing w:before="0" w:beforeAutospacing="0" w:after="0" w:afterAutospacing="0"/>
      </w:pPr>
    </w:p>
    <w:p w14:paraId="0BC9E165" w14:textId="5AD89590" w:rsidR="00C872F4" w:rsidRPr="00C872F4" w:rsidRDefault="009935EB">
      <w:pPr>
        <w:pStyle w:val="NormalWeb"/>
        <w:spacing w:before="0" w:beforeAutospacing="0" w:after="0" w:afterAutospacing="0"/>
        <w:rPr>
          <w:rFonts w:ascii="Verdana" w:hAnsi="Verdana"/>
          <w:b/>
          <w:bCs/>
          <w:color w:val="auto"/>
          <w:sz w:val="20"/>
          <w:szCs w:val="20"/>
        </w:rPr>
      </w:pPr>
      <w:r>
        <w:rPr>
          <w:rFonts w:ascii="Verdana" w:hAnsi="Verdana"/>
          <w:b/>
          <w:bCs/>
          <w:color w:val="auto"/>
          <w:sz w:val="20"/>
          <w:szCs w:val="20"/>
        </w:rPr>
        <w:t>Grading</w:t>
      </w:r>
    </w:p>
    <w:p w14:paraId="63FB40A1" w14:textId="002467E3" w:rsidR="00571760" w:rsidRPr="00C872F4" w:rsidRDefault="009935EB">
      <w:pPr>
        <w:pStyle w:val="NormalWeb"/>
        <w:numPr>
          <w:ilvl w:val="0"/>
          <w:numId w:val="4"/>
        </w:numPr>
        <w:spacing w:before="0" w:beforeAutospacing="0" w:after="0" w:afterAutospacing="0"/>
        <w:rPr>
          <w:rFonts w:ascii="Verdana" w:hAnsi="Verdana"/>
          <w:b/>
          <w:bCs/>
          <w:color w:val="auto"/>
          <w:sz w:val="20"/>
          <w:szCs w:val="20"/>
        </w:rPr>
      </w:pPr>
      <w:r w:rsidRPr="00C872F4">
        <w:rPr>
          <w:rStyle w:val="Strong"/>
          <w:b w:val="0"/>
          <w:bCs w:val="0"/>
          <w:color w:val="auto"/>
          <w:sz w:val="20"/>
          <w:szCs w:val="20"/>
        </w:rPr>
        <w:t xml:space="preserve">Final exam: </w:t>
      </w:r>
      <w:r w:rsidR="00EC6C6D" w:rsidRPr="00C872F4">
        <w:rPr>
          <w:rStyle w:val="Strong"/>
          <w:b w:val="0"/>
          <w:bCs w:val="0"/>
          <w:color w:val="auto"/>
          <w:sz w:val="20"/>
          <w:szCs w:val="20"/>
        </w:rPr>
        <w:t>90 points</w:t>
      </w:r>
    </w:p>
    <w:p w14:paraId="38EB4C63" w14:textId="4BFC8326" w:rsidR="00571760" w:rsidRPr="00C872F4" w:rsidRDefault="009935EB">
      <w:pPr>
        <w:pStyle w:val="NormalWeb"/>
        <w:numPr>
          <w:ilvl w:val="0"/>
          <w:numId w:val="4"/>
        </w:numPr>
        <w:spacing w:before="0" w:beforeAutospacing="0" w:after="0" w:afterAutospacing="0"/>
        <w:rPr>
          <w:rStyle w:val="Strong"/>
          <w:b w:val="0"/>
          <w:bCs w:val="0"/>
        </w:rPr>
      </w:pPr>
      <w:r w:rsidRPr="00C872F4">
        <w:rPr>
          <w:rStyle w:val="Strong"/>
          <w:b w:val="0"/>
          <w:bCs w:val="0"/>
          <w:color w:val="auto"/>
          <w:sz w:val="20"/>
          <w:szCs w:val="20"/>
        </w:rPr>
        <w:t>Problem sets and cases: 2</w:t>
      </w:r>
      <w:r w:rsidR="00EC6C6D" w:rsidRPr="00C872F4">
        <w:rPr>
          <w:rStyle w:val="Strong"/>
          <w:b w:val="0"/>
          <w:bCs w:val="0"/>
          <w:color w:val="auto"/>
          <w:sz w:val="20"/>
          <w:szCs w:val="20"/>
        </w:rPr>
        <w:t>0 points</w:t>
      </w:r>
    </w:p>
    <w:p w14:paraId="35DE3B05" w14:textId="2B982952" w:rsidR="00571760" w:rsidRPr="00C872F4" w:rsidRDefault="009935EB">
      <w:pPr>
        <w:pStyle w:val="NormalWeb"/>
        <w:numPr>
          <w:ilvl w:val="0"/>
          <w:numId w:val="4"/>
        </w:numPr>
        <w:spacing w:before="0" w:beforeAutospacing="0" w:after="0" w:afterAutospacing="0"/>
        <w:rPr>
          <w:rStyle w:val="Strong"/>
          <w:b w:val="0"/>
          <w:bCs w:val="0"/>
          <w:color w:val="auto"/>
          <w:sz w:val="20"/>
          <w:szCs w:val="20"/>
        </w:rPr>
      </w:pPr>
      <w:r w:rsidRPr="00C872F4">
        <w:rPr>
          <w:rStyle w:val="Strong"/>
          <w:b w:val="0"/>
          <w:bCs w:val="0"/>
          <w:color w:val="auto"/>
          <w:sz w:val="20"/>
          <w:szCs w:val="20"/>
        </w:rPr>
        <w:t xml:space="preserve">Student debates: </w:t>
      </w:r>
      <w:r w:rsidR="00EC6C6D" w:rsidRPr="00C872F4">
        <w:rPr>
          <w:rStyle w:val="Strong"/>
          <w:b w:val="0"/>
          <w:bCs w:val="0"/>
          <w:color w:val="auto"/>
          <w:sz w:val="20"/>
          <w:szCs w:val="20"/>
        </w:rPr>
        <w:t>20 points</w:t>
      </w:r>
    </w:p>
    <w:p w14:paraId="538B357C" w14:textId="2CFEF7C2" w:rsidR="00EC6C6D" w:rsidRPr="00C872F4" w:rsidRDefault="009935EB" w:rsidP="00EC6C6D">
      <w:pPr>
        <w:pStyle w:val="NormalWeb"/>
        <w:numPr>
          <w:ilvl w:val="0"/>
          <w:numId w:val="4"/>
        </w:numPr>
        <w:spacing w:before="0" w:beforeAutospacing="0" w:after="0" w:afterAutospacing="0"/>
        <w:rPr>
          <w:rStyle w:val="Strong"/>
          <w:rFonts w:ascii="Times New Roman" w:hAnsi="Times New Roman"/>
          <w:b w:val="0"/>
          <w:bCs w:val="0"/>
        </w:rPr>
      </w:pPr>
      <w:r w:rsidRPr="00C872F4">
        <w:rPr>
          <w:rStyle w:val="Strong"/>
          <w:b w:val="0"/>
          <w:bCs w:val="0"/>
          <w:color w:val="auto"/>
          <w:sz w:val="20"/>
          <w:szCs w:val="20"/>
        </w:rPr>
        <w:t xml:space="preserve">Class participation: </w:t>
      </w:r>
      <w:r w:rsidR="00EC6C6D" w:rsidRPr="00C872F4">
        <w:rPr>
          <w:rStyle w:val="Strong"/>
          <w:b w:val="0"/>
          <w:bCs w:val="0"/>
          <w:color w:val="auto"/>
          <w:sz w:val="20"/>
          <w:szCs w:val="20"/>
        </w:rPr>
        <w:t xml:space="preserve"> 20 points</w:t>
      </w:r>
    </w:p>
    <w:p w14:paraId="566A801B" w14:textId="31EB4533" w:rsidR="00EC6C6D" w:rsidRPr="00EC6C6D" w:rsidRDefault="00EC6C6D" w:rsidP="00EC6C6D">
      <w:pPr>
        <w:pStyle w:val="NormalWeb"/>
        <w:spacing w:before="0" w:beforeAutospacing="0" w:after="0" w:afterAutospacing="0"/>
        <w:sectPr w:rsidR="00EC6C6D" w:rsidRPr="00EC6C6D">
          <w:footerReference w:type="default" r:id="rId13"/>
          <w:pgSz w:w="12240" w:h="15840"/>
          <w:pgMar w:top="1296" w:right="720" w:bottom="446" w:left="720" w:header="720" w:footer="720" w:gutter="0"/>
          <w:cols w:space="720"/>
          <w:docGrid w:linePitch="360"/>
        </w:sectPr>
      </w:pPr>
      <w:r>
        <w:rPr>
          <w:rStyle w:val="Strong"/>
          <w:color w:val="auto"/>
          <w:sz w:val="20"/>
          <w:szCs w:val="20"/>
        </w:rPr>
        <w:t xml:space="preserve">Total:        </w:t>
      </w:r>
      <w:proofErr w:type="gramStart"/>
      <w:r>
        <w:rPr>
          <w:rStyle w:val="Strong"/>
          <w:color w:val="auto"/>
          <w:sz w:val="20"/>
          <w:szCs w:val="20"/>
        </w:rPr>
        <w:t>150  points</w:t>
      </w:r>
      <w:proofErr w:type="gramEnd"/>
    </w:p>
    <w:p w14:paraId="6F53A138" w14:textId="1A10D4C7" w:rsidR="00571760" w:rsidRPr="00C872F4" w:rsidRDefault="009935EB" w:rsidP="001D694A">
      <w:pPr>
        <w:jc w:val="center"/>
        <w:rPr>
          <w:rStyle w:val="Strong"/>
          <w:rFonts w:ascii="Times New Roman" w:hAnsi="Times New Roman"/>
          <w:color w:val="000099"/>
        </w:rPr>
      </w:pPr>
      <w:r w:rsidRPr="00C872F4">
        <w:rPr>
          <w:rStyle w:val="Strong"/>
          <w:rFonts w:ascii="Times New Roman" w:hAnsi="Times New Roman"/>
          <w:color w:val="000099"/>
        </w:rPr>
        <w:lastRenderedPageBreak/>
        <w:t>Class Schedule</w:t>
      </w:r>
    </w:p>
    <w:p w14:paraId="63FDACEA" w14:textId="77777777" w:rsidR="00571760" w:rsidRDefault="00571760" w:rsidP="001D694A">
      <w:pPr>
        <w:ind w:right="85"/>
        <w:jc w:val="right"/>
        <w:rPr>
          <w:sz w:val="17"/>
          <w:szCs w:val="17"/>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2"/>
        <w:gridCol w:w="4299"/>
        <w:gridCol w:w="1630"/>
        <w:gridCol w:w="1986"/>
        <w:gridCol w:w="1917"/>
      </w:tblGrid>
      <w:tr w:rsidR="005B3526" w14:paraId="5530C21A" w14:textId="77777777" w:rsidTr="005B3526">
        <w:trPr>
          <w:trHeight w:val="86"/>
          <w:tblCellSpacing w:w="7" w:type="dxa"/>
          <w:jc w:val="center"/>
        </w:trPr>
        <w:tc>
          <w:tcPr>
            <w:tcW w:w="931" w:type="dxa"/>
            <w:vMerge w:val="restart"/>
            <w:tcBorders>
              <w:top w:val="outset" w:sz="6" w:space="0" w:color="auto"/>
              <w:left w:val="outset" w:sz="6" w:space="0" w:color="auto"/>
              <w:bottom w:val="outset" w:sz="6" w:space="0" w:color="auto"/>
              <w:right w:val="outset" w:sz="6" w:space="0" w:color="auto"/>
            </w:tcBorders>
            <w:shd w:val="clear" w:color="auto" w:fill="00CCFF"/>
            <w:hideMark/>
          </w:tcPr>
          <w:p w14:paraId="15DF6859" w14:textId="77777777" w:rsidR="005B3526" w:rsidRDefault="005B3526">
            <w:pPr>
              <w:pStyle w:val="NormalWeb"/>
              <w:jc w:val="center"/>
              <w:rPr>
                <w:sz w:val="27"/>
                <w:szCs w:val="27"/>
              </w:rPr>
            </w:pPr>
            <w:r>
              <w:rPr>
                <w:rFonts w:ascii="Verdana" w:hAnsi="Verdana"/>
                <w:b/>
                <w:bCs/>
                <w:color w:val="FFFFCC"/>
                <w:sz w:val="27"/>
                <w:szCs w:val="27"/>
              </w:rPr>
              <w:br/>
              <w:t>#</w:t>
            </w:r>
          </w:p>
        </w:tc>
        <w:tc>
          <w:tcPr>
            <w:tcW w:w="4285" w:type="dxa"/>
            <w:vMerge w:val="restart"/>
            <w:tcBorders>
              <w:top w:val="outset" w:sz="6" w:space="0" w:color="auto"/>
              <w:left w:val="outset" w:sz="6" w:space="0" w:color="auto"/>
              <w:bottom w:val="outset" w:sz="6" w:space="0" w:color="auto"/>
              <w:right w:val="outset" w:sz="6" w:space="0" w:color="auto"/>
            </w:tcBorders>
            <w:shd w:val="clear" w:color="auto" w:fill="00CCFF"/>
            <w:hideMark/>
          </w:tcPr>
          <w:p w14:paraId="36B2E1EB" w14:textId="77777777" w:rsidR="005B3526" w:rsidRDefault="005B3526">
            <w:pPr>
              <w:pStyle w:val="NormalWeb"/>
              <w:jc w:val="center"/>
            </w:pPr>
            <w:r>
              <w:rPr>
                <w:rFonts w:ascii="Verdana" w:hAnsi="Verdana"/>
                <w:b/>
                <w:bCs/>
                <w:color w:val="FFFFCC"/>
                <w:sz w:val="27"/>
                <w:szCs w:val="27"/>
              </w:rPr>
              <w:br/>
              <w:t xml:space="preserve">Course Topic </w:t>
            </w:r>
          </w:p>
        </w:tc>
        <w:tc>
          <w:tcPr>
            <w:tcW w:w="1616" w:type="dxa"/>
            <w:vMerge w:val="restart"/>
            <w:tcBorders>
              <w:top w:val="outset" w:sz="6" w:space="0" w:color="auto"/>
              <w:left w:val="outset" w:sz="6" w:space="0" w:color="auto"/>
              <w:bottom w:val="outset" w:sz="6" w:space="0" w:color="auto"/>
              <w:right w:val="outset" w:sz="6" w:space="0" w:color="auto"/>
            </w:tcBorders>
            <w:shd w:val="clear" w:color="auto" w:fill="00CCFF"/>
            <w:hideMark/>
          </w:tcPr>
          <w:p w14:paraId="0791C812" w14:textId="062E87C5" w:rsidR="005B3526" w:rsidRPr="00BB2582" w:rsidRDefault="005B3526">
            <w:pPr>
              <w:pStyle w:val="NormalWeb"/>
              <w:jc w:val="center"/>
            </w:pPr>
            <w:r w:rsidRPr="00BB2582">
              <w:rPr>
                <w:rFonts w:ascii="Verdana" w:hAnsi="Verdana"/>
                <w:b/>
                <w:bCs/>
                <w:color w:val="FFFFCC"/>
              </w:rPr>
              <w:t>Assignment Due</w:t>
            </w:r>
            <w:r w:rsidR="00EC6C6D">
              <w:rPr>
                <w:rFonts w:ascii="Verdana" w:hAnsi="Verdana"/>
                <w:b/>
                <w:bCs/>
                <w:color w:val="FFFFCC"/>
              </w:rPr>
              <w:t xml:space="preserve"> /Student Debate</w:t>
            </w:r>
          </w:p>
        </w:tc>
        <w:tc>
          <w:tcPr>
            <w:tcW w:w="3882" w:type="dxa"/>
            <w:gridSpan w:val="2"/>
            <w:tcBorders>
              <w:top w:val="outset" w:sz="6" w:space="0" w:color="auto"/>
              <w:left w:val="outset" w:sz="6" w:space="0" w:color="auto"/>
              <w:bottom w:val="outset" w:sz="6" w:space="0" w:color="auto"/>
              <w:right w:val="outset" w:sz="6" w:space="0" w:color="auto"/>
            </w:tcBorders>
            <w:shd w:val="clear" w:color="auto" w:fill="00CCFF"/>
          </w:tcPr>
          <w:p w14:paraId="0249683E" w14:textId="73A4A289" w:rsidR="005B3526" w:rsidRDefault="005B3526">
            <w:pPr>
              <w:pStyle w:val="NormalWeb"/>
              <w:jc w:val="center"/>
              <w:rPr>
                <w:rFonts w:ascii="Verdana" w:hAnsi="Verdana"/>
                <w:b/>
                <w:bCs/>
                <w:color w:val="FFFFCC"/>
                <w:sz w:val="27"/>
                <w:szCs w:val="27"/>
              </w:rPr>
            </w:pPr>
            <w:r>
              <w:rPr>
                <w:rFonts w:ascii="Verdana" w:hAnsi="Verdana"/>
                <w:b/>
                <w:bCs/>
                <w:color w:val="FFFFCC"/>
                <w:sz w:val="27"/>
                <w:szCs w:val="27"/>
              </w:rPr>
              <w:t>Read</w:t>
            </w:r>
            <w:r>
              <w:rPr>
                <w:rFonts w:ascii="Verdana" w:hAnsi="Verdana"/>
                <w:b/>
                <w:bCs/>
                <w:color w:val="FFFFCC"/>
                <w:sz w:val="27"/>
                <w:szCs w:val="27"/>
              </w:rPr>
              <w:br/>
            </w:r>
            <w:r>
              <w:rPr>
                <w:rFonts w:ascii="Verdana" w:hAnsi="Verdana"/>
                <w:b/>
                <w:bCs/>
                <w:color w:val="FFFFCC"/>
                <w:sz w:val="27"/>
                <w:szCs w:val="27"/>
              </w:rPr>
              <w:br w:type="page"/>
            </w:r>
            <w:r>
              <w:rPr>
                <w:rFonts w:ascii="Verdana" w:hAnsi="Verdana"/>
                <w:b/>
                <w:bCs/>
                <w:color w:val="FFFFCC"/>
                <w:sz w:val="20"/>
                <w:szCs w:val="20"/>
              </w:rPr>
              <w:t>(prior to class)</w:t>
            </w:r>
          </w:p>
        </w:tc>
      </w:tr>
      <w:tr w:rsidR="005B3526" w14:paraId="6F219C91" w14:textId="77777777" w:rsidTr="005B3526">
        <w:trPr>
          <w:trHeight w:val="31"/>
          <w:tblCellSpacing w:w="7" w:type="dxa"/>
          <w:jc w:val="center"/>
        </w:trPr>
        <w:tc>
          <w:tcPr>
            <w:tcW w:w="931" w:type="dxa"/>
            <w:vMerge/>
            <w:tcBorders>
              <w:top w:val="outset" w:sz="6" w:space="0" w:color="auto"/>
              <w:left w:val="outset" w:sz="6" w:space="0" w:color="auto"/>
              <w:bottom w:val="outset" w:sz="6" w:space="0" w:color="auto"/>
              <w:right w:val="outset" w:sz="6" w:space="0" w:color="auto"/>
            </w:tcBorders>
            <w:vAlign w:val="center"/>
            <w:hideMark/>
          </w:tcPr>
          <w:p w14:paraId="4A934666" w14:textId="77777777" w:rsidR="005B3526" w:rsidRDefault="005B3526">
            <w:pPr>
              <w:rPr>
                <w:color w:val="000000"/>
                <w:sz w:val="27"/>
                <w:szCs w:val="27"/>
              </w:rPr>
            </w:pPr>
          </w:p>
        </w:tc>
        <w:tc>
          <w:tcPr>
            <w:tcW w:w="4285" w:type="dxa"/>
            <w:vMerge/>
            <w:tcBorders>
              <w:top w:val="outset" w:sz="6" w:space="0" w:color="auto"/>
              <w:left w:val="outset" w:sz="6" w:space="0" w:color="auto"/>
              <w:bottom w:val="outset" w:sz="6" w:space="0" w:color="auto"/>
              <w:right w:val="outset" w:sz="6" w:space="0" w:color="auto"/>
            </w:tcBorders>
            <w:vAlign w:val="center"/>
            <w:hideMark/>
          </w:tcPr>
          <w:p w14:paraId="0F009791" w14:textId="77777777" w:rsidR="005B3526" w:rsidRDefault="005B3526">
            <w:pPr>
              <w:rPr>
                <w:color w:val="000000"/>
              </w:rPr>
            </w:pPr>
          </w:p>
        </w:tc>
        <w:tc>
          <w:tcPr>
            <w:tcW w:w="1616" w:type="dxa"/>
            <w:vMerge/>
            <w:tcBorders>
              <w:top w:val="outset" w:sz="6" w:space="0" w:color="auto"/>
              <w:left w:val="outset" w:sz="6" w:space="0" w:color="auto"/>
              <w:bottom w:val="outset" w:sz="6" w:space="0" w:color="auto"/>
              <w:right w:val="outset" w:sz="6" w:space="0" w:color="auto"/>
            </w:tcBorders>
            <w:vAlign w:val="center"/>
            <w:hideMark/>
          </w:tcPr>
          <w:p w14:paraId="24C3475B" w14:textId="77777777" w:rsidR="005B3526" w:rsidRDefault="005B3526">
            <w:pPr>
              <w:rPr>
                <w:color w:val="000000"/>
              </w:rPr>
            </w:pPr>
          </w:p>
        </w:tc>
        <w:tc>
          <w:tcPr>
            <w:tcW w:w="1972" w:type="dxa"/>
            <w:tcBorders>
              <w:top w:val="outset" w:sz="6" w:space="0" w:color="auto"/>
              <w:left w:val="outset" w:sz="6" w:space="0" w:color="auto"/>
              <w:bottom w:val="outset" w:sz="6" w:space="0" w:color="auto"/>
              <w:right w:val="outset" w:sz="6" w:space="0" w:color="auto"/>
            </w:tcBorders>
            <w:shd w:val="clear" w:color="auto" w:fill="33CAFF"/>
            <w:hideMark/>
          </w:tcPr>
          <w:p w14:paraId="1629F0DF" w14:textId="77777777" w:rsidR="005B3526" w:rsidRDefault="005B3526">
            <w:pPr>
              <w:jc w:val="center"/>
              <w:rPr>
                <w:rFonts w:ascii="Verdana" w:eastAsia="Times New Roman" w:hAnsi="Verdana"/>
                <w:b/>
                <w:color w:val="FFFFCC"/>
                <w:sz w:val="20"/>
                <w:szCs w:val="20"/>
              </w:rPr>
            </w:pPr>
            <w:r>
              <w:rPr>
                <w:rFonts w:ascii="Verdana" w:eastAsia="Times New Roman" w:hAnsi="Verdana"/>
                <w:b/>
                <w:color w:val="FFFFCC"/>
                <w:sz w:val="20"/>
                <w:szCs w:val="20"/>
              </w:rPr>
              <w:t>Macroeconomics:</w:t>
            </w:r>
          </w:p>
          <w:p w14:paraId="729531F1" w14:textId="7EA0DE73" w:rsidR="005B3526" w:rsidRDefault="005B3526">
            <w:pPr>
              <w:jc w:val="center"/>
              <w:rPr>
                <w:rFonts w:ascii="Verdana" w:eastAsia="Times New Roman" w:hAnsi="Verdana"/>
                <w:b/>
                <w:color w:val="FFFFCC"/>
                <w:sz w:val="20"/>
                <w:szCs w:val="20"/>
              </w:rPr>
            </w:pPr>
            <w:r>
              <w:rPr>
                <w:rFonts w:ascii="Verdana" w:eastAsia="Times New Roman" w:hAnsi="Verdana"/>
                <w:b/>
                <w:color w:val="FFFFCC"/>
                <w:sz w:val="20"/>
                <w:szCs w:val="20"/>
              </w:rPr>
              <w:t>Policy &amp; Practice</w:t>
            </w:r>
          </w:p>
        </w:tc>
        <w:tc>
          <w:tcPr>
            <w:tcW w:w="1896" w:type="dxa"/>
            <w:tcBorders>
              <w:top w:val="outset" w:sz="6" w:space="0" w:color="auto"/>
              <w:left w:val="outset" w:sz="6" w:space="0" w:color="auto"/>
              <w:bottom w:val="outset" w:sz="6" w:space="0" w:color="auto"/>
              <w:right w:val="outset" w:sz="6" w:space="0" w:color="auto"/>
            </w:tcBorders>
            <w:shd w:val="clear" w:color="auto" w:fill="33CAFF"/>
            <w:hideMark/>
          </w:tcPr>
          <w:p w14:paraId="60A9DA1E" w14:textId="08C1B7A2" w:rsidR="005B3526" w:rsidRDefault="005B3526">
            <w:pPr>
              <w:jc w:val="center"/>
              <w:rPr>
                <w:rFonts w:ascii="Verdana" w:eastAsia="Times New Roman" w:hAnsi="Verdana"/>
                <w:b/>
                <w:color w:val="FFFFCC"/>
                <w:sz w:val="20"/>
                <w:szCs w:val="20"/>
              </w:rPr>
            </w:pPr>
            <w:r>
              <w:rPr>
                <w:rFonts w:ascii="Verdana" w:eastAsia="Times New Roman" w:hAnsi="Verdana"/>
                <w:b/>
                <w:color w:val="FFFFCC"/>
                <w:sz w:val="20"/>
                <w:szCs w:val="20"/>
              </w:rPr>
              <w:t>Economics of MBFM</w:t>
            </w:r>
          </w:p>
        </w:tc>
      </w:tr>
      <w:tr w:rsidR="005B3526" w14:paraId="178862ED" w14:textId="77777777" w:rsidTr="005B3526">
        <w:trPr>
          <w:trHeight w:val="257"/>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FFFFCC"/>
            <w:hideMark/>
          </w:tcPr>
          <w:p w14:paraId="7780678D" w14:textId="77777777" w:rsidR="005B3526" w:rsidRDefault="005B3526">
            <w:pPr>
              <w:pStyle w:val="NormalWeb"/>
              <w:jc w:val="center"/>
              <w:rPr>
                <w:sz w:val="20"/>
                <w:szCs w:val="20"/>
              </w:rPr>
            </w:pPr>
            <w:r>
              <w:rPr>
                <w:rStyle w:val="Strong"/>
                <w:sz w:val="20"/>
                <w:szCs w:val="20"/>
              </w:rPr>
              <w:t>(1)</w:t>
            </w:r>
          </w:p>
        </w:tc>
        <w:tc>
          <w:tcPr>
            <w:tcW w:w="4285" w:type="dxa"/>
            <w:tcBorders>
              <w:top w:val="outset" w:sz="6" w:space="0" w:color="auto"/>
              <w:left w:val="outset" w:sz="6" w:space="0" w:color="auto"/>
              <w:bottom w:val="outset" w:sz="6" w:space="0" w:color="auto"/>
              <w:right w:val="outset" w:sz="6" w:space="0" w:color="auto"/>
            </w:tcBorders>
            <w:shd w:val="clear" w:color="auto" w:fill="FFFFCC"/>
            <w:hideMark/>
          </w:tcPr>
          <w:p w14:paraId="14117640" w14:textId="1E81517D" w:rsidR="005B3526" w:rsidRDefault="005B3526">
            <w:pPr>
              <w:pStyle w:val="NormalWeb"/>
            </w:pPr>
            <w:r>
              <w:rPr>
                <w:rFonts w:ascii="Verdana" w:hAnsi="Verdana"/>
                <w:b/>
                <w:bCs/>
              </w:rPr>
              <w:t>Introduction</w:t>
            </w:r>
          </w:p>
          <w:p w14:paraId="7CF2299F" w14:textId="59BC0876" w:rsidR="005B3526" w:rsidRDefault="005B3526">
            <w:pPr>
              <w:numPr>
                <w:ilvl w:val="0"/>
                <w:numId w:val="6"/>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Course </w:t>
            </w:r>
            <w:r w:rsidR="001D694A">
              <w:rPr>
                <w:rFonts w:ascii="Verdana" w:eastAsia="Times New Roman" w:hAnsi="Verdana"/>
                <w:sz w:val="20"/>
                <w:szCs w:val="20"/>
              </w:rPr>
              <w:t>overview</w:t>
            </w:r>
          </w:p>
          <w:p w14:paraId="7133B7B0" w14:textId="016FAB99" w:rsidR="005B3526" w:rsidRDefault="005B3526">
            <w:pPr>
              <w:numPr>
                <w:ilvl w:val="0"/>
                <w:numId w:val="6"/>
              </w:numPr>
              <w:spacing w:before="100" w:beforeAutospacing="1" w:after="100" w:afterAutospacing="1"/>
              <w:rPr>
                <w:rFonts w:ascii="Verdana" w:eastAsia="Times New Roman" w:hAnsi="Verdana"/>
                <w:sz w:val="20"/>
                <w:szCs w:val="20"/>
              </w:rPr>
            </w:pPr>
            <w:r>
              <w:rPr>
                <w:rFonts w:ascii="Verdana" w:eastAsia="Times New Roman" w:hAnsi="Verdana"/>
                <w:sz w:val="20"/>
                <w:szCs w:val="20"/>
              </w:rPr>
              <w:t>Business cycle facts</w:t>
            </w:r>
          </w:p>
        </w:tc>
        <w:tc>
          <w:tcPr>
            <w:tcW w:w="1616" w:type="dxa"/>
            <w:tcBorders>
              <w:top w:val="outset" w:sz="6" w:space="0" w:color="auto"/>
              <w:left w:val="outset" w:sz="6" w:space="0" w:color="auto"/>
              <w:bottom w:val="outset" w:sz="6" w:space="0" w:color="auto"/>
              <w:right w:val="outset" w:sz="6" w:space="0" w:color="auto"/>
            </w:tcBorders>
            <w:shd w:val="clear" w:color="auto" w:fill="FFFFCC"/>
            <w:hideMark/>
          </w:tcPr>
          <w:p w14:paraId="681ACFC0" w14:textId="77777777" w:rsidR="005B3526" w:rsidRDefault="005B3526">
            <w:pPr>
              <w:rPr>
                <w:rFonts w:ascii="Verdana" w:eastAsia="Times New Roman" w:hAnsi="Verdana"/>
              </w:rPr>
            </w:pPr>
            <w:r>
              <w:rPr>
                <w:rFonts w:ascii="Verdana" w:eastAsia="Times New Roman" w:hAnsi="Verdana"/>
              </w:rPr>
              <w:t> </w:t>
            </w:r>
          </w:p>
        </w:tc>
        <w:tc>
          <w:tcPr>
            <w:tcW w:w="1972" w:type="dxa"/>
            <w:tcBorders>
              <w:top w:val="outset" w:sz="6" w:space="0" w:color="auto"/>
              <w:left w:val="outset" w:sz="6" w:space="0" w:color="auto"/>
              <w:bottom w:val="outset" w:sz="6" w:space="0" w:color="auto"/>
              <w:right w:val="outset" w:sz="6" w:space="0" w:color="auto"/>
            </w:tcBorders>
            <w:shd w:val="clear" w:color="auto" w:fill="FFFFCC"/>
          </w:tcPr>
          <w:p w14:paraId="67A0D97B" w14:textId="77777777" w:rsidR="005B3526" w:rsidRDefault="005B3526">
            <w:pPr>
              <w:jc w:val="center"/>
              <w:rPr>
                <w:rFonts w:ascii="Verdana" w:eastAsia="Times New Roman" w:hAnsi="Verdana"/>
                <w:b/>
                <w:sz w:val="20"/>
                <w:szCs w:val="20"/>
              </w:rPr>
            </w:pPr>
            <w:r>
              <w:rPr>
                <w:rFonts w:ascii="Verdana" w:eastAsia="Times New Roman" w:hAnsi="Verdana"/>
                <w:b/>
                <w:sz w:val="20"/>
                <w:szCs w:val="20"/>
              </w:rPr>
              <w:t>Ch. 8</w:t>
            </w:r>
          </w:p>
          <w:p w14:paraId="20C430A2" w14:textId="77777777" w:rsidR="005B3526" w:rsidRDefault="005B3526">
            <w:pPr>
              <w:jc w:val="center"/>
              <w:rPr>
                <w:rFonts w:ascii="Verdana" w:eastAsia="Times New Roman" w:hAnsi="Verdana"/>
                <w:sz w:val="16"/>
                <w:szCs w:val="16"/>
              </w:rPr>
            </w:pPr>
            <w:r>
              <w:rPr>
                <w:rFonts w:ascii="Verdana" w:eastAsia="Times New Roman" w:hAnsi="Verdana"/>
                <w:sz w:val="16"/>
                <w:szCs w:val="16"/>
              </w:rPr>
              <w:t>(207-221)</w:t>
            </w:r>
          </w:p>
          <w:p w14:paraId="218A6E60" w14:textId="77777777" w:rsidR="005B3526" w:rsidRDefault="005B3526">
            <w:pPr>
              <w:jc w:val="center"/>
              <w:rPr>
                <w:rFonts w:ascii="Verdana" w:eastAsia="Times New Roman" w:hAnsi="Verdana"/>
                <w:sz w:val="16"/>
                <w:szCs w:val="16"/>
              </w:rPr>
            </w:pPr>
          </w:p>
        </w:tc>
        <w:tc>
          <w:tcPr>
            <w:tcW w:w="1896" w:type="dxa"/>
            <w:tcBorders>
              <w:top w:val="outset" w:sz="6" w:space="0" w:color="auto"/>
              <w:left w:val="outset" w:sz="6" w:space="0" w:color="auto"/>
              <w:bottom w:val="outset" w:sz="6" w:space="0" w:color="auto"/>
              <w:right w:val="outset" w:sz="6" w:space="0" w:color="auto"/>
            </w:tcBorders>
            <w:shd w:val="clear" w:color="auto" w:fill="FFFFCC"/>
          </w:tcPr>
          <w:p w14:paraId="56B92334" w14:textId="77777777" w:rsidR="005B3526" w:rsidRDefault="005B3526">
            <w:pPr>
              <w:jc w:val="center"/>
              <w:rPr>
                <w:rFonts w:ascii="Verdana" w:eastAsia="Times New Roman" w:hAnsi="Verdana"/>
                <w:sz w:val="16"/>
                <w:szCs w:val="16"/>
              </w:rPr>
            </w:pPr>
          </w:p>
        </w:tc>
      </w:tr>
      <w:tr w:rsidR="005B3526" w14:paraId="7E790818" w14:textId="77777777" w:rsidTr="005B3526">
        <w:trPr>
          <w:trHeight w:val="290"/>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FFFFCC"/>
            <w:hideMark/>
          </w:tcPr>
          <w:p w14:paraId="6647DA30" w14:textId="77777777" w:rsidR="005B3526" w:rsidRDefault="005B3526">
            <w:pPr>
              <w:pStyle w:val="NormalWeb"/>
              <w:jc w:val="center"/>
              <w:rPr>
                <w:sz w:val="20"/>
                <w:szCs w:val="20"/>
              </w:rPr>
            </w:pPr>
            <w:bookmarkStart w:id="3" w:name="_GoBack"/>
            <w:bookmarkEnd w:id="3"/>
            <w:r>
              <w:rPr>
                <w:rStyle w:val="Strong"/>
                <w:sz w:val="20"/>
                <w:szCs w:val="20"/>
              </w:rPr>
              <w:t>(2)</w:t>
            </w:r>
          </w:p>
        </w:tc>
        <w:tc>
          <w:tcPr>
            <w:tcW w:w="4285" w:type="dxa"/>
            <w:tcBorders>
              <w:top w:val="outset" w:sz="6" w:space="0" w:color="auto"/>
              <w:left w:val="outset" w:sz="6" w:space="0" w:color="auto"/>
              <w:bottom w:val="outset" w:sz="6" w:space="0" w:color="auto"/>
              <w:right w:val="outset" w:sz="6" w:space="0" w:color="auto"/>
            </w:tcBorders>
            <w:shd w:val="clear" w:color="auto" w:fill="FFFFCC"/>
            <w:hideMark/>
          </w:tcPr>
          <w:p w14:paraId="6D8A5733" w14:textId="77777777" w:rsidR="005B3526" w:rsidRDefault="005B3526">
            <w:pPr>
              <w:pStyle w:val="NormalWeb"/>
            </w:pPr>
            <w:r>
              <w:rPr>
                <w:rFonts w:ascii="Verdana" w:hAnsi="Verdana"/>
                <w:b/>
                <w:bCs/>
              </w:rPr>
              <w:t>The AD/AS Framework: Part 1</w:t>
            </w:r>
          </w:p>
          <w:p w14:paraId="6F4031B7" w14:textId="77777777" w:rsidR="005B3526" w:rsidRDefault="005B3526">
            <w:pPr>
              <w:numPr>
                <w:ilvl w:val="0"/>
                <w:numId w:val="8"/>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Macro Forecasting </w:t>
            </w:r>
          </w:p>
          <w:p w14:paraId="0CC032CB" w14:textId="65ECBC32" w:rsidR="005B3526" w:rsidRDefault="005B3526">
            <w:pPr>
              <w:numPr>
                <w:ilvl w:val="0"/>
                <w:numId w:val="8"/>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Long-Run Aggregate Supply (LRAS) </w:t>
            </w:r>
          </w:p>
          <w:p w14:paraId="44694C38" w14:textId="27D84DAB" w:rsidR="002541CD" w:rsidRDefault="005B3526" w:rsidP="00F1568F">
            <w:pPr>
              <w:numPr>
                <w:ilvl w:val="0"/>
                <w:numId w:val="8"/>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The Aggregate Demand (AD) curve: The IS curve </w:t>
            </w:r>
          </w:p>
        </w:tc>
        <w:tc>
          <w:tcPr>
            <w:tcW w:w="1616" w:type="dxa"/>
            <w:tcBorders>
              <w:top w:val="outset" w:sz="6" w:space="0" w:color="auto"/>
              <w:left w:val="outset" w:sz="6" w:space="0" w:color="auto"/>
              <w:bottom w:val="outset" w:sz="6" w:space="0" w:color="auto"/>
              <w:right w:val="outset" w:sz="6" w:space="0" w:color="auto"/>
            </w:tcBorders>
            <w:shd w:val="clear" w:color="auto" w:fill="FFFFCC"/>
            <w:hideMark/>
          </w:tcPr>
          <w:p w14:paraId="169DDC35" w14:textId="2F18597A" w:rsidR="00701AD2" w:rsidRPr="00755194" w:rsidRDefault="00701AD2" w:rsidP="00EC6C6D">
            <w:pPr>
              <w:spacing w:before="100" w:beforeAutospacing="1" w:after="100" w:afterAutospacing="1"/>
              <w:rPr>
                <w:rFonts w:eastAsia="Times New Roman"/>
              </w:rPr>
            </w:pPr>
            <w:r w:rsidRPr="00755194">
              <w:rPr>
                <w:rFonts w:eastAsia="Times New Roman"/>
              </w:rPr>
              <w:t xml:space="preserve">Would </w:t>
            </w:r>
            <w:r w:rsidR="00755194">
              <w:rPr>
                <w:rFonts w:eastAsia="Times New Roman"/>
              </w:rPr>
              <w:t>a more generous maternity leave</w:t>
            </w:r>
            <w:r w:rsidRPr="00755194">
              <w:rPr>
                <w:rFonts w:eastAsia="Times New Roman"/>
              </w:rPr>
              <w:t xml:space="preserve"> lead to an outward shift in LRAS</w:t>
            </w:r>
            <w:r w:rsidR="006C32C4" w:rsidRPr="00755194">
              <w:rPr>
                <w:rFonts w:eastAsia="Times New Roman"/>
              </w:rPr>
              <w:t xml:space="preserve"> in India</w:t>
            </w:r>
            <w:r w:rsidRPr="00755194">
              <w:rPr>
                <w:rFonts w:eastAsia="Times New Roman"/>
              </w:rPr>
              <w:t>?</w:t>
            </w:r>
          </w:p>
        </w:tc>
        <w:tc>
          <w:tcPr>
            <w:tcW w:w="1972" w:type="dxa"/>
            <w:tcBorders>
              <w:top w:val="outset" w:sz="6" w:space="0" w:color="auto"/>
              <w:left w:val="outset" w:sz="6" w:space="0" w:color="auto"/>
              <w:bottom w:val="outset" w:sz="6" w:space="0" w:color="auto"/>
              <w:right w:val="outset" w:sz="6" w:space="0" w:color="auto"/>
            </w:tcBorders>
            <w:shd w:val="clear" w:color="auto" w:fill="FFFFCC"/>
          </w:tcPr>
          <w:p w14:paraId="4115AB41" w14:textId="77777777" w:rsidR="005B3526" w:rsidRDefault="005B3526">
            <w:pPr>
              <w:jc w:val="center"/>
              <w:rPr>
                <w:rFonts w:ascii="Verdana" w:eastAsia="Times New Roman" w:hAnsi="Verdana"/>
                <w:b/>
                <w:sz w:val="20"/>
                <w:szCs w:val="20"/>
              </w:rPr>
            </w:pPr>
            <w:r>
              <w:rPr>
                <w:rFonts w:ascii="Verdana" w:eastAsia="Times New Roman" w:hAnsi="Verdana"/>
                <w:b/>
                <w:sz w:val="20"/>
                <w:szCs w:val="20"/>
              </w:rPr>
              <w:t>Ch. 9</w:t>
            </w:r>
          </w:p>
          <w:p w14:paraId="7757B9D2" w14:textId="77777777" w:rsidR="005B3526" w:rsidRDefault="005B3526">
            <w:pPr>
              <w:jc w:val="center"/>
              <w:rPr>
                <w:rFonts w:ascii="Verdana" w:eastAsia="Times New Roman" w:hAnsi="Verdana"/>
                <w:sz w:val="20"/>
                <w:szCs w:val="20"/>
              </w:rPr>
            </w:pPr>
          </w:p>
          <w:p w14:paraId="7B80ABFD" w14:textId="77777777" w:rsidR="005B3526" w:rsidRDefault="005B3526">
            <w:pPr>
              <w:jc w:val="center"/>
              <w:rPr>
                <w:rFonts w:ascii="Verdana" w:eastAsia="Times New Roman" w:hAnsi="Verdana"/>
                <w:sz w:val="16"/>
                <w:szCs w:val="16"/>
              </w:rPr>
            </w:pPr>
          </w:p>
          <w:p w14:paraId="12530F1C" w14:textId="77777777" w:rsidR="005B3526" w:rsidRDefault="005B3526">
            <w:pPr>
              <w:jc w:val="center"/>
              <w:rPr>
                <w:rFonts w:ascii="Verdana" w:eastAsia="Times New Roman" w:hAnsi="Verdana"/>
                <w:sz w:val="16"/>
                <w:szCs w:val="16"/>
              </w:rPr>
            </w:pPr>
          </w:p>
        </w:tc>
        <w:tc>
          <w:tcPr>
            <w:tcW w:w="1896" w:type="dxa"/>
            <w:tcBorders>
              <w:top w:val="outset" w:sz="6" w:space="0" w:color="auto"/>
              <w:left w:val="outset" w:sz="6" w:space="0" w:color="auto"/>
              <w:bottom w:val="outset" w:sz="6" w:space="0" w:color="auto"/>
              <w:right w:val="outset" w:sz="6" w:space="0" w:color="auto"/>
            </w:tcBorders>
            <w:shd w:val="clear" w:color="auto" w:fill="FFFFCC"/>
          </w:tcPr>
          <w:p w14:paraId="177764F0" w14:textId="77777777" w:rsidR="005B3526" w:rsidRDefault="005B3526">
            <w:pPr>
              <w:jc w:val="center"/>
              <w:rPr>
                <w:rFonts w:ascii="Verdana" w:eastAsia="Times New Roman" w:hAnsi="Verdana"/>
                <w:b/>
                <w:sz w:val="20"/>
                <w:szCs w:val="20"/>
              </w:rPr>
            </w:pPr>
            <w:r>
              <w:rPr>
                <w:rFonts w:ascii="Verdana" w:eastAsia="Times New Roman" w:hAnsi="Verdana"/>
                <w:b/>
                <w:sz w:val="20"/>
                <w:szCs w:val="20"/>
              </w:rPr>
              <w:t>Ch. 20</w:t>
            </w:r>
          </w:p>
          <w:p w14:paraId="5A6814C4" w14:textId="77777777" w:rsidR="005B3526" w:rsidRDefault="005B3526">
            <w:pPr>
              <w:jc w:val="center"/>
              <w:rPr>
                <w:rFonts w:ascii="Verdana" w:eastAsia="Times New Roman" w:hAnsi="Verdana"/>
                <w:b/>
                <w:sz w:val="20"/>
                <w:szCs w:val="20"/>
              </w:rPr>
            </w:pPr>
          </w:p>
          <w:p w14:paraId="65F18B47" w14:textId="77777777" w:rsidR="005B3526" w:rsidRDefault="005B3526">
            <w:pPr>
              <w:jc w:val="center"/>
              <w:rPr>
                <w:rFonts w:ascii="Verdana" w:eastAsia="Times New Roman" w:hAnsi="Verdana"/>
                <w:b/>
                <w:sz w:val="20"/>
                <w:szCs w:val="20"/>
              </w:rPr>
            </w:pPr>
          </w:p>
        </w:tc>
      </w:tr>
      <w:tr w:rsidR="005B3526" w14:paraId="1FC1145B" w14:textId="77777777" w:rsidTr="005B3526">
        <w:trPr>
          <w:trHeight w:val="290"/>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FFFFCC"/>
            <w:hideMark/>
          </w:tcPr>
          <w:p w14:paraId="043870BE" w14:textId="77777777" w:rsidR="005B3526" w:rsidRDefault="005B3526">
            <w:pPr>
              <w:pStyle w:val="NormalWeb"/>
              <w:jc w:val="center"/>
              <w:rPr>
                <w:sz w:val="20"/>
                <w:szCs w:val="20"/>
              </w:rPr>
            </w:pPr>
            <w:r>
              <w:rPr>
                <w:rStyle w:val="Strong"/>
                <w:sz w:val="20"/>
                <w:szCs w:val="20"/>
              </w:rPr>
              <w:t>(3)</w:t>
            </w:r>
          </w:p>
        </w:tc>
        <w:tc>
          <w:tcPr>
            <w:tcW w:w="4285" w:type="dxa"/>
            <w:tcBorders>
              <w:top w:val="outset" w:sz="6" w:space="0" w:color="auto"/>
              <w:left w:val="outset" w:sz="6" w:space="0" w:color="auto"/>
              <w:bottom w:val="outset" w:sz="6" w:space="0" w:color="auto"/>
              <w:right w:val="outset" w:sz="6" w:space="0" w:color="auto"/>
            </w:tcBorders>
            <w:shd w:val="clear" w:color="auto" w:fill="FFFFCC"/>
            <w:hideMark/>
          </w:tcPr>
          <w:p w14:paraId="0449CB6B" w14:textId="790BC4A4" w:rsidR="005B3526" w:rsidRDefault="005B3526">
            <w:pPr>
              <w:pStyle w:val="NormalWeb"/>
              <w:rPr>
                <w:rFonts w:ascii="Verdana" w:hAnsi="Verdana"/>
                <w:b/>
                <w:bCs/>
              </w:rPr>
            </w:pPr>
            <w:r>
              <w:rPr>
                <w:rFonts w:ascii="Verdana" w:hAnsi="Verdana"/>
                <w:b/>
                <w:bCs/>
              </w:rPr>
              <w:t>The AD/AS Framework: Part 2</w:t>
            </w:r>
          </w:p>
          <w:p w14:paraId="1E0D89A9" w14:textId="7C4C614E" w:rsidR="005B3526" w:rsidRDefault="005B3526">
            <w:pPr>
              <w:numPr>
                <w:ilvl w:val="0"/>
                <w:numId w:val="10"/>
              </w:numPr>
              <w:tabs>
                <w:tab w:val="clear" w:pos="360"/>
                <w:tab w:val="num" w:pos="487"/>
              </w:tabs>
              <w:spacing w:before="100" w:beforeAutospacing="1" w:after="100" w:afterAutospacing="1"/>
              <w:ind w:left="397"/>
              <w:rPr>
                <w:rFonts w:ascii="Verdana" w:eastAsia="Times New Roman" w:hAnsi="Verdana"/>
                <w:sz w:val="20"/>
                <w:szCs w:val="20"/>
              </w:rPr>
            </w:pPr>
            <w:r>
              <w:rPr>
                <w:rFonts w:ascii="Verdana" w:eastAsia="Times New Roman" w:hAnsi="Verdana"/>
                <w:sz w:val="20"/>
                <w:szCs w:val="20"/>
              </w:rPr>
              <w:t xml:space="preserve">The Aggregate Demand (AD) curve: The IS curve </w:t>
            </w:r>
            <w:r w:rsidR="001D694A">
              <w:rPr>
                <w:rFonts w:ascii="Verdana" w:eastAsia="Times New Roman" w:hAnsi="Verdana"/>
                <w:sz w:val="20"/>
                <w:szCs w:val="20"/>
              </w:rPr>
              <w:t>+</w:t>
            </w:r>
            <w:r>
              <w:rPr>
                <w:rFonts w:ascii="Verdana" w:eastAsia="Times New Roman" w:hAnsi="Verdana"/>
                <w:sz w:val="20"/>
                <w:szCs w:val="20"/>
              </w:rPr>
              <w:t xml:space="preserve"> Monetary Policy (MP) </w:t>
            </w:r>
          </w:p>
          <w:p w14:paraId="0866DE4E" w14:textId="7998196A" w:rsidR="005B3526" w:rsidRDefault="005B3526">
            <w:pPr>
              <w:numPr>
                <w:ilvl w:val="0"/>
                <w:numId w:val="10"/>
              </w:numPr>
              <w:tabs>
                <w:tab w:val="clear" w:pos="360"/>
                <w:tab w:val="num" w:pos="487"/>
              </w:tabs>
              <w:spacing w:before="100" w:beforeAutospacing="1" w:after="100" w:afterAutospacing="1"/>
              <w:ind w:left="397"/>
              <w:rPr>
                <w:rFonts w:ascii="Verdana" w:eastAsia="Times New Roman" w:hAnsi="Verdana"/>
                <w:sz w:val="20"/>
                <w:szCs w:val="20"/>
              </w:rPr>
            </w:pPr>
            <w:r>
              <w:rPr>
                <w:rFonts w:ascii="Verdana" w:eastAsia="Times New Roman" w:hAnsi="Verdana"/>
                <w:sz w:val="20"/>
                <w:szCs w:val="20"/>
              </w:rPr>
              <w:t xml:space="preserve">Okun’s Law and the Phillips Curve </w:t>
            </w:r>
          </w:p>
        </w:tc>
        <w:tc>
          <w:tcPr>
            <w:tcW w:w="1616" w:type="dxa"/>
            <w:tcBorders>
              <w:top w:val="outset" w:sz="6" w:space="0" w:color="auto"/>
              <w:left w:val="outset" w:sz="6" w:space="0" w:color="auto"/>
              <w:bottom w:val="outset" w:sz="6" w:space="0" w:color="auto"/>
              <w:right w:val="outset" w:sz="6" w:space="0" w:color="auto"/>
            </w:tcBorders>
            <w:shd w:val="clear" w:color="auto" w:fill="FFFFCC"/>
            <w:hideMark/>
          </w:tcPr>
          <w:p w14:paraId="6D6B1BDE" w14:textId="0B1E8349" w:rsidR="00701AD2" w:rsidRPr="00755194" w:rsidRDefault="00701AD2" w:rsidP="00EC6C6D">
            <w:r w:rsidRPr="00755194">
              <w:t xml:space="preserve">Does trading with China </w:t>
            </w:r>
            <w:r w:rsidR="006C32C4" w:rsidRPr="00755194">
              <w:t xml:space="preserve">lead to </w:t>
            </w:r>
            <w:r w:rsidR="00755194">
              <w:t>more</w:t>
            </w:r>
            <w:r w:rsidR="006C32C4" w:rsidRPr="00755194">
              <w:t xml:space="preserve"> unemployment in the United States?</w:t>
            </w:r>
          </w:p>
        </w:tc>
        <w:tc>
          <w:tcPr>
            <w:tcW w:w="1972" w:type="dxa"/>
            <w:tcBorders>
              <w:top w:val="outset" w:sz="6" w:space="0" w:color="auto"/>
              <w:left w:val="outset" w:sz="6" w:space="0" w:color="auto"/>
              <w:bottom w:val="outset" w:sz="6" w:space="0" w:color="auto"/>
              <w:right w:val="outset" w:sz="6" w:space="0" w:color="auto"/>
            </w:tcBorders>
            <w:shd w:val="clear" w:color="auto" w:fill="FFFFCC"/>
          </w:tcPr>
          <w:p w14:paraId="41190311" w14:textId="77777777" w:rsidR="005B3526" w:rsidRDefault="005B3526">
            <w:pPr>
              <w:jc w:val="center"/>
              <w:rPr>
                <w:rFonts w:ascii="Verdana" w:eastAsia="Times New Roman" w:hAnsi="Verdana"/>
                <w:b/>
                <w:sz w:val="20"/>
                <w:szCs w:val="20"/>
              </w:rPr>
            </w:pPr>
            <w:r>
              <w:rPr>
                <w:rFonts w:ascii="Verdana" w:eastAsia="Times New Roman" w:hAnsi="Verdana"/>
                <w:b/>
                <w:sz w:val="20"/>
                <w:szCs w:val="20"/>
              </w:rPr>
              <w:t>Ch. 10</w:t>
            </w:r>
          </w:p>
          <w:p w14:paraId="779780E8" w14:textId="77777777" w:rsidR="005B3526" w:rsidRDefault="005B3526">
            <w:pPr>
              <w:jc w:val="center"/>
              <w:rPr>
                <w:rFonts w:ascii="Verdana" w:eastAsia="Times New Roman" w:hAnsi="Verdana"/>
                <w:sz w:val="16"/>
                <w:szCs w:val="16"/>
              </w:rPr>
            </w:pPr>
            <w:r>
              <w:rPr>
                <w:rFonts w:ascii="Verdana" w:eastAsia="Times New Roman" w:hAnsi="Verdana"/>
                <w:sz w:val="16"/>
                <w:szCs w:val="16"/>
              </w:rPr>
              <w:t>(251-262)</w:t>
            </w:r>
          </w:p>
          <w:p w14:paraId="0A394D67" w14:textId="77777777" w:rsidR="005B3526" w:rsidRDefault="005B3526">
            <w:pPr>
              <w:jc w:val="center"/>
              <w:rPr>
                <w:rFonts w:ascii="Verdana" w:eastAsia="Times New Roman" w:hAnsi="Verdana"/>
                <w:b/>
                <w:sz w:val="20"/>
                <w:szCs w:val="20"/>
              </w:rPr>
            </w:pPr>
          </w:p>
          <w:p w14:paraId="535B2B7A" w14:textId="77777777" w:rsidR="005B3526" w:rsidRDefault="005B3526">
            <w:pPr>
              <w:jc w:val="center"/>
              <w:rPr>
                <w:rFonts w:ascii="Verdana" w:eastAsia="Times New Roman" w:hAnsi="Verdana"/>
                <w:sz w:val="20"/>
                <w:szCs w:val="20"/>
              </w:rPr>
            </w:pPr>
            <w:r>
              <w:rPr>
                <w:rFonts w:ascii="Verdana" w:eastAsia="Times New Roman" w:hAnsi="Verdana"/>
                <w:b/>
                <w:sz w:val="20"/>
                <w:szCs w:val="20"/>
              </w:rPr>
              <w:t>Ch. 11</w:t>
            </w:r>
          </w:p>
        </w:tc>
        <w:tc>
          <w:tcPr>
            <w:tcW w:w="1896" w:type="dxa"/>
            <w:tcBorders>
              <w:top w:val="outset" w:sz="6" w:space="0" w:color="auto"/>
              <w:left w:val="outset" w:sz="6" w:space="0" w:color="auto"/>
              <w:bottom w:val="outset" w:sz="6" w:space="0" w:color="auto"/>
              <w:right w:val="outset" w:sz="6" w:space="0" w:color="auto"/>
            </w:tcBorders>
            <w:shd w:val="clear" w:color="auto" w:fill="FFFFCC"/>
          </w:tcPr>
          <w:p w14:paraId="6B9FD6F6" w14:textId="77777777" w:rsidR="005B3526" w:rsidRDefault="005B3526">
            <w:pPr>
              <w:jc w:val="center"/>
              <w:rPr>
                <w:rFonts w:ascii="Verdana" w:eastAsia="Times New Roman" w:hAnsi="Verdana"/>
                <w:b/>
                <w:sz w:val="20"/>
                <w:szCs w:val="20"/>
              </w:rPr>
            </w:pPr>
            <w:r>
              <w:rPr>
                <w:rFonts w:ascii="Verdana" w:eastAsia="Times New Roman" w:hAnsi="Verdana"/>
                <w:b/>
                <w:sz w:val="20"/>
                <w:szCs w:val="20"/>
              </w:rPr>
              <w:t>Ch. 21</w:t>
            </w:r>
          </w:p>
          <w:p w14:paraId="6E068DEE" w14:textId="77777777" w:rsidR="005B3526" w:rsidRDefault="005B3526">
            <w:pPr>
              <w:pStyle w:val="NormalWeb"/>
              <w:jc w:val="center"/>
              <w:rPr>
                <w:rFonts w:ascii="Verdana" w:eastAsia="Times New Roman" w:hAnsi="Verdana"/>
                <w:b/>
                <w:sz w:val="20"/>
                <w:szCs w:val="20"/>
              </w:rPr>
            </w:pPr>
            <w:r>
              <w:rPr>
                <w:rFonts w:ascii="Verdana" w:eastAsia="Times New Roman" w:hAnsi="Verdana"/>
                <w:b/>
                <w:sz w:val="20"/>
                <w:szCs w:val="20"/>
              </w:rPr>
              <w:t>Appendix of</w:t>
            </w:r>
            <w:r>
              <w:rPr>
                <w:rFonts w:ascii="Verdana" w:eastAsia="Times New Roman" w:hAnsi="Verdana"/>
                <w:b/>
                <w:sz w:val="20"/>
                <w:szCs w:val="20"/>
              </w:rPr>
              <w:br/>
              <w:t xml:space="preserve"> Ch. 22</w:t>
            </w:r>
          </w:p>
          <w:p w14:paraId="0C7FD954" w14:textId="77777777" w:rsidR="005B3526" w:rsidRDefault="005B3526">
            <w:pPr>
              <w:jc w:val="center"/>
              <w:rPr>
                <w:rFonts w:ascii="Verdana" w:eastAsia="Times New Roman" w:hAnsi="Verdana"/>
                <w:b/>
                <w:sz w:val="16"/>
                <w:szCs w:val="16"/>
              </w:rPr>
            </w:pPr>
          </w:p>
        </w:tc>
      </w:tr>
      <w:tr w:rsidR="005B3526" w14:paraId="5DD4861B" w14:textId="77777777" w:rsidTr="005B3526">
        <w:trPr>
          <w:trHeight w:val="368"/>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FFFFCC"/>
            <w:hideMark/>
          </w:tcPr>
          <w:p w14:paraId="4D369A4F" w14:textId="77777777" w:rsidR="005B3526" w:rsidRDefault="005B3526">
            <w:pPr>
              <w:pStyle w:val="NormalWeb"/>
              <w:jc w:val="center"/>
              <w:rPr>
                <w:sz w:val="20"/>
                <w:szCs w:val="20"/>
              </w:rPr>
            </w:pPr>
            <w:r>
              <w:rPr>
                <w:rStyle w:val="Strong"/>
                <w:sz w:val="20"/>
                <w:szCs w:val="20"/>
              </w:rPr>
              <w:t>(4)</w:t>
            </w:r>
          </w:p>
        </w:tc>
        <w:tc>
          <w:tcPr>
            <w:tcW w:w="4285" w:type="dxa"/>
            <w:tcBorders>
              <w:top w:val="outset" w:sz="6" w:space="0" w:color="auto"/>
              <w:left w:val="outset" w:sz="6" w:space="0" w:color="auto"/>
              <w:bottom w:val="outset" w:sz="6" w:space="0" w:color="auto"/>
              <w:right w:val="outset" w:sz="6" w:space="0" w:color="auto"/>
            </w:tcBorders>
            <w:shd w:val="clear" w:color="auto" w:fill="FFFFCC"/>
            <w:hideMark/>
          </w:tcPr>
          <w:p w14:paraId="42CAABD4" w14:textId="77777777" w:rsidR="005B3526" w:rsidRDefault="005B3526">
            <w:pPr>
              <w:pStyle w:val="NormalWeb"/>
              <w:rPr>
                <w:rFonts w:ascii="Verdana" w:hAnsi="Verdana"/>
                <w:b/>
                <w:bCs/>
              </w:rPr>
            </w:pPr>
            <w:r>
              <w:rPr>
                <w:rFonts w:ascii="Verdana" w:hAnsi="Verdana"/>
                <w:b/>
                <w:bCs/>
              </w:rPr>
              <w:t>Inflation Expectations and Monetary Policy</w:t>
            </w:r>
          </w:p>
          <w:p w14:paraId="742EC9C4" w14:textId="77777777" w:rsidR="005B3526" w:rsidRDefault="005B3526">
            <w:pPr>
              <w:pStyle w:val="NormalWeb"/>
              <w:numPr>
                <w:ilvl w:val="0"/>
                <w:numId w:val="12"/>
              </w:numPr>
              <w:rPr>
                <w:rFonts w:ascii="Verdana" w:eastAsia="Times New Roman" w:hAnsi="Verdana"/>
                <w:sz w:val="20"/>
                <w:szCs w:val="20"/>
              </w:rPr>
            </w:pPr>
            <w:r>
              <w:rPr>
                <w:rFonts w:ascii="Verdana" w:hAnsi="Verdana"/>
                <w:bCs/>
                <w:sz w:val="20"/>
                <w:szCs w:val="20"/>
              </w:rPr>
              <w:t>The Expectations Augmented Phillips Curve</w:t>
            </w:r>
            <w:r>
              <w:rPr>
                <w:rFonts w:ascii="Verdana" w:eastAsia="Times New Roman" w:hAnsi="Verdana"/>
                <w:sz w:val="20"/>
                <w:szCs w:val="20"/>
              </w:rPr>
              <w:t xml:space="preserve"> </w:t>
            </w:r>
          </w:p>
          <w:p w14:paraId="41FF57AB" w14:textId="3CF12427" w:rsidR="005B3526" w:rsidRDefault="005B3526">
            <w:pPr>
              <w:pStyle w:val="NormalWeb"/>
              <w:numPr>
                <w:ilvl w:val="0"/>
                <w:numId w:val="12"/>
              </w:numPr>
              <w:rPr>
                <w:rFonts w:ascii="Verdana" w:eastAsia="Times New Roman" w:hAnsi="Verdana"/>
                <w:sz w:val="20"/>
                <w:szCs w:val="20"/>
              </w:rPr>
            </w:pPr>
            <w:r>
              <w:rPr>
                <w:rFonts w:ascii="Verdana" w:eastAsia="Times New Roman" w:hAnsi="Verdana"/>
                <w:sz w:val="20"/>
                <w:szCs w:val="20"/>
              </w:rPr>
              <w:t xml:space="preserve">Inflation expectations </w:t>
            </w:r>
            <w:r w:rsidR="00C872F4">
              <w:rPr>
                <w:rFonts w:ascii="Verdana" w:eastAsia="Times New Roman" w:hAnsi="Verdana"/>
                <w:sz w:val="20"/>
                <w:szCs w:val="20"/>
              </w:rPr>
              <w:t>&amp;</w:t>
            </w:r>
            <w:r>
              <w:rPr>
                <w:rFonts w:ascii="Verdana" w:eastAsia="Times New Roman" w:hAnsi="Verdana"/>
                <w:sz w:val="20"/>
                <w:szCs w:val="20"/>
              </w:rPr>
              <w:t xml:space="preserve"> the AS curve</w:t>
            </w:r>
          </w:p>
          <w:p w14:paraId="7BD31183" w14:textId="77777777" w:rsidR="005B3526" w:rsidRDefault="005B3526">
            <w:pPr>
              <w:pStyle w:val="NormalWeb"/>
              <w:numPr>
                <w:ilvl w:val="0"/>
                <w:numId w:val="12"/>
              </w:numPr>
              <w:rPr>
                <w:rFonts w:ascii="Verdana" w:eastAsia="Times New Roman" w:hAnsi="Verdana"/>
                <w:sz w:val="20"/>
                <w:szCs w:val="20"/>
              </w:rPr>
            </w:pPr>
            <w:r>
              <w:rPr>
                <w:rFonts w:ascii="Verdana" w:eastAsia="Times New Roman" w:hAnsi="Verdana"/>
                <w:sz w:val="20"/>
                <w:szCs w:val="20"/>
              </w:rPr>
              <w:t>General Equilibrium</w:t>
            </w:r>
          </w:p>
          <w:p w14:paraId="05EC990E" w14:textId="44998970" w:rsidR="005B3526" w:rsidRPr="006C32C4" w:rsidRDefault="005B3526" w:rsidP="006C32C4">
            <w:pPr>
              <w:pStyle w:val="NormalWeb"/>
              <w:numPr>
                <w:ilvl w:val="0"/>
                <w:numId w:val="12"/>
              </w:numPr>
              <w:rPr>
                <w:rFonts w:ascii="Verdana" w:eastAsia="Times New Roman" w:hAnsi="Verdana"/>
                <w:sz w:val="20"/>
                <w:szCs w:val="20"/>
              </w:rPr>
            </w:pPr>
            <w:r>
              <w:rPr>
                <w:rFonts w:ascii="Verdana" w:eastAsia="Times New Roman" w:hAnsi="Verdana"/>
                <w:sz w:val="20"/>
                <w:szCs w:val="20"/>
              </w:rPr>
              <w:t>The Effects of Monetary Policy</w:t>
            </w:r>
          </w:p>
        </w:tc>
        <w:tc>
          <w:tcPr>
            <w:tcW w:w="1616" w:type="dxa"/>
            <w:tcBorders>
              <w:top w:val="outset" w:sz="6" w:space="0" w:color="auto"/>
              <w:left w:val="outset" w:sz="6" w:space="0" w:color="auto"/>
              <w:bottom w:val="outset" w:sz="6" w:space="0" w:color="auto"/>
              <w:right w:val="outset" w:sz="6" w:space="0" w:color="auto"/>
            </w:tcBorders>
            <w:shd w:val="clear" w:color="auto" w:fill="FFFFCC"/>
            <w:hideMark/>
          </w:tcPr>
          <w:p w14:paraId="60B86B27" w14:textId="24AF5487" w:rsidR="006C32C4" w:rsidRPr="00755194" w:rsidRDefault="006C32C4" w:rsidP="006C32C4">
            <w:pPr>
              <w:pStyle w:val="NormalWeb"/>
              <w:rPr>
                <w:bCs/>
              </w:rPr>
            </w:pPr>
            <w:r w:rsidRPr="00755194">
              <w:rPr>
                <w:bCs/>
              </w:rPr>
              <w:t>Would</w:t>
            </w:r>
            <w:r w:rsidR="00EC6C6D" w:rsidRPr="00755194">
              <w:rPr>
                <w:bCs/>
              </w:rPr>
              <w:t xml:space="preserve"> </w:t>
            </w:r>
            <w:r w:rsidRPr="00755194">
              <w:rPr>
                <w:bCs/>
              </w:rPr>
              <w:t>exchange rate depreciation lead to a higher inflation in Brazil?</w:t>
            </w:r>
          </w:p>
        </w:tc>
        <w:tc>
          <w:tcPr>
            <w:tcW w:w="1972" w:type="dxa"/>
            <w:tcBorders>
              <w:top w:val="outset" w:sz="6" w:space="0" w:color="auto"/>
              <w:left w:val="outset" w:sz="6" w:space="0" w:color="auto"/>
              <w:bottom w:val="outset" w:sz="6" w:space="0" w:color="auto"/>
              <w:right w:val="outset" w:sz="6" w:space="0" w:color="auto"/>
            </w:tcBorders>
            <w:shd w:val="clear" w:color="auto" w:fill="FFFFCC"/>
            <w:hideMark/>
          </w:tcPr>
          <w:p w14:paraId="1DF3926F" w14:textId="77777777" w:rsidR="005B3526" w:rsidRDefault="005B3526">
            <w:pPr>
              <w:pStyle w:val="NormalWeb"/>
              <w:jc w:val="center"/>
              <w:rPr>
                <w:rFonts w:ascii="Verdana" w:eastAsia="Times New Roman" w:hAnsi="Verdana"/>
                <w:b/>
                <w:sz w:val="20"/>
                <w:szCs w:val="20"/>
              </w:rPr>
            </w:pPr>
            <w:r>
              <w:rPr>
                <w:rFonts w:ascii="Verdana" w:eastAsia="Times New Roman" w:hAnsi="Verdana"/>
                <w:b/>
                <w:sz w:val="20"/>
                <w:szCs w:val="20"/>
              </w:rPr>
              <w:t>Ch. 11</w:t>
            </w:r>
          </w:p>
          <w:p w14:paraId="244568F1" w14:textId="77777777" w:rsidR="005B3526" w:rsidRDefault="005B3526">
            <w:pPr>
              <w:pStyle w:val="NormalWeb"/>
              <w:jc w:val="center"/>
              <w:rPr>
                <w:rFonts w:ascii="Verdana" w:hAnsi="Verdana"/>
                <w:sz w:val="16"/>
                <w:szCs w:val="16"/>
              </w:rPr>
            </w:pPr>
            <w:r>
              <w:rPr>
                <w:rFonts w:ascii="Verdana" w:hAnsi="Verdana"/>
                <w:b/>
                <w:sz w:val="20"/>
                <w:szCs w:val="20"/>
              </w:rPr>
              <w:t xml:space="preserve">Ch. 12 </w:t>
            </w:r>
            <w:r>
              <w:rPr>
                <w:rFonts w:ascii="Verdana" w:hAnsi="Verdana"/>
                <w:sz w:val="16"/>
                <w:szCs w:val="16"/>
              </w:rPr>
              <w:t>(299-307)</w:t>
            </w:r>
          </w:p>
          <w:p w14:paraId="15D7BD5F" w14:textId="77777777" w:rsidR="005B3526" w:rsidRDefault="005B3526">
            <w:pPr>
              <w:jc w:val="center"/>
              <w:rPr>
                <w:rFonts w:eastAsia="Times New Roman"/>
                <w:sz w:val="16"/>
                <w:szCs w:val="16"/>
              </w:rPr>
            </w:pPr>
            <w:r>
              <w:rPr>
                <w:rFonts w:ascii="Verdana" w:hAnsi="Verdana"/>
                <w:b/>
                <w:sz w:val="20"/>
                <w:szCs w:val="20"/>
              </w:rPr>
              <w:t>Ch. 13</w:t>
            </w:r>
            <w:r>
              <w:rPr>
                <w:rFonts w:ascii="Verdana" w:hAnsi="Verdana"/>
                <w:sz w:val="16"/>
                <w:szCs w:val="16"/>
              </w:rPr>
              <w:t xml:space="preserve"> (348-355)</w:t>
            </w:r>
          </w:p>
        </w:tc>
        <w:tc>
          <w:tcPr>
            <w:tcW w:w="1896" w:type="dxa"/>
            <w:tcBorders>
              <w:top w:val="outset" w:sz="6" w:space="0" w:color="auto"/>
              <w:left w:val="outset" w:sz="6" w:space="0" w:color="auto"/>
              <w:bottom w:val="outset" w:sz="6" w:space="0" w:color="auto"/>
              <w:right w:val="outset" w:sz="6" w:space="0" w:color="auto"/>
            </w:tcBorders>
            <w:shd w:val="clear" w:color="auto" w:fill="FFFFCC"/>
          </w:tcPr>
          <w:p w14:paraId="1088947F" w14:textId="77777777" w:rsidR="005B3526" w:rsidRDefault="005B3526">
            <w:pPr>
              <w:pStyle w:val="NormalWeb"/>
              <w:jc w:val="center"/>
              <w:rPr>
                <w:rFonts w:ascii="Verdana" w:eastAsia="Times New Roman" w:hAnsi="Verdana"/>
                <w:b/>
                <w:sz w:val="20"/>
                <w:szCs w:val="20"/>
              </w:rPr>
            </w:pPr>
            <w:r>
              <w:rPr>
                <w:rFonts w:ascii="Verdana" w:eastAsia="Times New Roman" w:hAnsi="Verdana"/>
                <w:b/>
                <w:sz w:val="20"/>
                <w:szCs w:val="20"/>
              </w:rPr>
              <w:t>Appendix of</w:t>
            </w:r>
            <w:r>
              <w:rPr>
                <w:rFonts w:ascii="Verdana" w:eastAsia="Times New Roman" w:hAnsi="Verdana"/>
                <w:b/>
                <w:sz w:val="20"/>
                <w:szCs w:val="20"/>
              </w:rPr>
              <w:br/>
              <w:t>Ch. 22</w:t>
            </w:r>
          </w:p>
          <w:p w14:paraId="62B57B57" w14:textId="5314AC14" w:rsidR="005B3526" w:rsidRDefault="005B3526">
            <w:pPr>
              <w:pStyle w:val="NormalWeb"/>
              <w:jc w:val="center"/>
              <w:rPr>
                <w:rFonts w:ascii="Verdana" w:hAnsi="Verdana"/>
                <w:sz w:val="16"/>
                <w:szCs w:val="16"/>
              </w:rPr>
            </w:pPr>
            <w:r>
              <w:rPr>
                <w:rFonts w:ascii="Verdana" w:hAnsi="Verdana"/>
                <w:b/>
                <w:sz w:val="20"/>
                <w:szCs w:val="20"/>
              </w:rPr>
              <w:t>Ch. 22</w:t>
            </w:r>
            <w:r>
              <w:rPr>
                <w:rFonts w:ascii="Verdana" w:hAnsi="Verdana"/>
                <w:sz w:val="16"/>
                <w:szCs w:val="16"/>
              </w:rPr>
              <w:br/>
              <w:t>(515-53</w:t>
            </w:r>
            <w:r w:rsidR="0088732C">
              <w:rPr>
                <w:rFonts w:ascii="Verdana" w:hAnsi="Verdana"/>
                <w:sz w:val="16"/>
                <w:szCs w:val="16"/>
              </w:rPr>
              <w:t>2</w:t>
            </w:r>
            <w:r>
              <w:rPr>
                <w:rFonts w:ascii="Verdana" w:hAnsi="Verdana"/>
                <w:sz w:val="16"/>
                <w:szCs w:val="16"/>
              </w:rPr>
              <w:t>)</w:t>
            </w:r>
          </w:p>
          <w:p w14:paraId="6749A314" w14:textId="77777777" w:rsidR="005B3526" w:rsidRDefault="005B3526">
            <w:pPr>
              <w:pStyle w:val="NormalWeb"/>
              <w:jc w:val="center"/>
              <w:rPr>
                <w:rFonts w:ascii="Verdana" w:hAnsi="Verdana"/>
                <w:b/>
                <w:sz w:val="20"/>
                <w:szCs w:val="20"/>
              </w:rPr>
            </w:pPr>
            <w:r>
              <w:rPr>
                <w:rFonts w:ascii="Verdana" w:hAnsi="Verdana"/>
                <w:b/>
                <w:sz w:val="20"/>
                <w:szCs w:val="20"/>
              </w:rPr>
              <w:t>Ch. 23</w:t>
            </w:r>
            <w:r>
              <w:rPr>
                <w:rFonts w:ascii="Verdana" w:hAnsi="Verdana"/>
                <w:sz w:val="16"/>
                <w:szCs w:val="16"/>
              </w:rPr>
              <w:br/>
              <w:t>(568-573)</w:t>
            </w:r>
          </w:p>
          <w:p w14:paraId="0F021461" w14:textId="77777777" w:rsidR="005B3526" w:rsidRDefault="005B3526">
            <w:pPr>
              <w:pStyle w:val="NormalWeb"/>
              <w:jc w:val="center"/>
              <w:rPr>
                <w:rFonts w:ascii="Verdana" w:eastAsia="Times New Roman" w:hAnsi="Verdana"/>
                <w:b/>
                <w:sz w:val="16"/>
                <w:szCs w:val="16"/>
              </w:rPr>
            </w:pPr>
          </w:p>
        </w:tc>
      </w:tr>
      <w:tr w:rsidR="005B3526" w14:paraId="4F11553D" w14:textId="77777777" w:rsidTr="005B3526">
        <w:trPr>
          <w:trHeight w:val="40"/>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CCCCCC"/>
            <w:hideMark/>
          </w:tcPr>
          <w:p w14:paraId="3D29B4D7" w14:textId="77777777" w:rsidR="005B3526" w:rsidRDefault="005B3526">
            <w:pPr>
              <w:rPr>
                <w:rFonts w:ascii="Verdana" w:eastAsia="Times New Roman" w:hAnsi="Verdana"/>
                <w:b/>
                <w:sz w:val="16"/>
                <w:szCs w:val="16"/>
              </w:rPr>
            </w:pPr>
          </w:p>
        </w:tc>
        <w:tc>
          <w:tcPr>
            <w:tcW w:w="4285" w:type="dxa"/>
            <w:tcBorders>
              <w:top w:val="outset" w:sz="6" w:space="0" w:color="auto"/>
              <w:left w:val="outset" w:sz="6" w:space="0" w:color="auto"/>
              <w:bottom w:val="outset" w:sz="6" w:space="0" w:color="auto"/>
              <w:right w:val="outset" w:sz="6" w:space="0" w:color="auto"/>
            </w:tcBorders>
            <w:shd w:val="clear" w:color="auto" w:fill="CCCCCC"/>
            <w:hideMark/>
          </w:tcPr>
          <w:p w14:paraId="040B7FB0" w14:textId="77777777" w:rsidR="005B3526" w:rsidRDefault="005B3526">
            <w:pPr>
              <w:pStyle w:val="NormalWeb"/>
              <w:rPr>
                <w:rFonts w:ascii="Verdana" w:hAnsi="Verdana"/>
                <w:b/>
                <w:bCs/>
              </w:rPr>
            </w:pPr>
            <w:r>
              <w:rPr>
                <w:rFonts w:ascii="Verdana" w:hAnsi="Verdana"/>
                <w:b/>
                <w:bCs/>
              </w:rPr>
              <w:t>Review session on AD/AS</w:t>
            </w:r>
          </w:p>
        </w:tc>
        <w:tc>
          <w:tcPr>
            <w:tcW w:w="1616" w:type="dxa"/>
            <w:tcBorders>
              <w:top w:val="outset" w:sz="6" w:space="0" w:color="auto"/>
              <w:left w:val="outset" w:sz="6" w:space="0" w:color="auto"/>
              <w:bottom w:val="outset" w:sz="6" w:space="0" w:color="auto"/>
              <w:right w:val="outset" w:sz="6" w:space="0" w:color="auto"/>
            </w:tcBorders>
            <w:shd w:val="clear" w:color="auto" w:fill="CCCCCC"/>
            <w:hideMark/>
          </w:tcPr>
          <w:p w14:paraId="482E45C6" w14:textId="77777777" w:rsidR="005B3526" w:rsidRPr="00755194" w:rsidRDefault="005B3526">
            <w:pPr>
              <w:rPr>
                <w:rFonts w:eastAsia="Times New Roman"/>
              </w:rPr>
            </w:pPr>
            <w:r w:rsidRPr="00755194">
              <w:rPr>
                <w:rFonts w:eastAsia="Times New Roman"/>
              </w:rPr>
              <w:t> </w:t>
            </w:r>
          </w:p>
        </w:tc>
        <w:tc>
          <w:tcPr>
            <w:tcW w:w="1972" w:type="dxa"/>
            <w:tcBorders>
              <w:top w:val="outset" w:sz="6" w:space="0" w:color="auto"/>
              <w:left w:val="outset" w:sz="6" w:space="0" w:color="auto"/>
              <w:bottom w:val="outset" w:sz="6" w:space="0" w:color="auto"/>
              <w:right w:val="outset" w:sz="6" w:space="0" w:color="auto"/>
            </w:tcBorders>
            <w:shd w:val="clear" w:color="auto" w:fill="CCCCCC"/>
            <w:hideMark/>
          </w:tcPr>
          <w:p w14:paraId="323797AB" w14:textId="77777777" w:rsidR="005B3526" w:rsidRDefault="005B3526">
            <w:pPr>
              <w:rPr>
                <w:rFonts w:eastAsia="Times New Roman"/>
                <w:sz w:val="20"/>
                <w:szCs w:val="20"/>
              </w:rPr>
            </w:pPr>
          </w:p>
        </w:tc>
        <w:tc>
          <w:tcPr>
            <w:tcW w:w="1896" w:type="dxa"/>
            <w:tcBorders>
              <w:top w:val="outset" w:sz="6" w:space="0" w:color="auto"/>
              <w:left w:val="outset" w:sz="6" w:space="0" w:color="auto"/>
              <w:bottom w:val="outset" w:sz="6" w:space="0" w:color="auto"/>
              <w:right w:val="outset" w:sz="6" w:space="0" w:color="auto"/>
            </w:tcBorders>
            <w:shd w:val="clear" w:color="auto" w:fill="CCCCCC"/>
          </w:tcPr>
          <w:p w14:paraId="19C253B0" w14:textId="77777777" w:rsidR="005B3526" w:rsidRDefault="005B3526">
            <w:pPr>
              <w:jc w:val="center"/>
              <w:rPr>
                <w:rFonts w:ascii="Verdana" w:eastAsia="Times New Roman" w:hAnsi="Verdana"/>
                <w:sz w:val="16"/>
                <w:szCs w:val="16"/>
              </w:rPr>
            </w:pPr>
          </w:p>
        </w:tc>
      </w:tr>
      <w:tr w:rsidR="005B3526" w14:paraId="25A0F5AE" w14:textId="77777777" w:rsidTr="005B3526">
        <w:trPr>
          <w:trHeight w:val="368"/>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FFFFCC"/>
            <w:hideMark/>
          </w:tcPr>
          <w:p w14:paraId="66FFD7E1" w14:textId="77777777" w:rsidR="005B3526" w:rsidRDefault="005B3526">
            <w:pPr>
              <w:pStyle w:val="NormalWeb"/>
              <w:jc w:val="center"/>
              <w:rPr>
                <w:sz w:val="20"/>
                <w:szCs w:val="20"/>
              </w:rPr>
            </w:pPr>
            <w:r>
              <w:rPr>
                <w:rStyle w:val="Strong"/>
                <w:sz w:val="20"/>
                <w:szCs w:val="20"/>
              </w:rPr>
              <w:t>(5)</w:t>
            </w:r>
          </w:p>
        </w:tc>
        <w:tc>
          <w:tcPr>
            <w:tcW w:w="4285" w:type="dxa"/>
            <w:tcBorders>
              <w:top w:val="outset" w:sz="6" w:space="0" w:color="auto"/>
              <w:left w:val="outset" w:sz="6" w:space="0" w:color="auto"/>
              <w:bottom w:val="outset" w:sz="6" w:space="0" w:color="auto"/>
              <w:right w:val="outset" w:sz="6" w:space="0" w:color="auto"/>
            </w:tcBorders>
            <w:shd w:val="clear" w:color="auto" w:fill="FFFFCC"/>
            <w:hideMark/>
          </w:tcPr>
          <w:p w14:paraId="0009C0F6" w14:textId="77777777" w:rsidR="005B3526" w:rsidRDefault="005B3526">
            <w:pPr>
              <w:spacing w:before="100" w:beforeAutospacing="1" w:after="100" w:afterAutospacing="1"/>
              <w:rPr>
                <w:rFonts w:ascii="Verdana" w:eastAsia="Times New Roman" w:hAnsi="Verdana"/>
                <w:sz w:val="20"/>
                <w:szCs w:val="20"/>
              </w:rPr>
            </w:pPr>
            <w:r>
              <w:rPr>
                <w:rFonts w:ascii="Verdana" w:hAnsi="Verdana"/>
                <w:b/>
                <w:bCs/>
              </w:rPr>
              <w:t>The Volcker Disinflation</w:t>
            </w:r>
          </w:p>
          <w:p w14:paraId="113C5844" w14:textId="77777777" w:rsidR="005B3526" w:rsidRDefault="005B3526">
            <w:pPr>
              <w:numPr>
                <w:ilvl w:val="0"/>
                <w:numId w:val="14"/>
              </w:numPr>
              <w:tabs>
                <w:tab w:val="clear" w:pos="360"/>
                <w:tab w:val="num" w:pos="487"/>
              </w:tabs>
              <w:spacing w:before="100" w:beforeAutospacing="1" w:after="100" w:afterAutospacing="1"/>
              <w:ind w:left="397"/>
              <w:rPr>
                <w:rFonts w:ascii="Verdana" w:eastAsia="Times New Roman" w:hAnsi="Verdana"/>
                <w:sz w:val="20"/>
                <w:szCs w:val="20"/>
              </w:rPr>
            </w:pPr>
            <w:r>
              <w:rPr>
                <w:rFonts w:ascii="Verdana" w:eastAsia="Times New Roman" w:hAnsi="Verdana"/>
                <w:sz w:val="20"/>
                <w:szCs w:val="20"/>
              </w:rPr>
              <w:t>The Great Inflation of the 1970s</w:t>
            </w:r>
          </w:p>
          <w:p w14:paraId="5312D356" w14:textId="77777777" w:rsidR="005B3526" w:rsidRDefault="005B3526">
            <w:pPr>
              <w:numPr>
                <w:ilvl w:val="0"/>
                <w:numId w:val="14"/>
              </w:numPr>
              <w:tabs>
                <w:tab w:val="clear" w:pos="360"/>
                <w:tab w:val="num" w:pos="487"/>
              </w:tabs>
              <w:spacing w:before="100" w:beforeAutospacing="1" w:after="100" w:afterAutospacing="1"/>
              <w:ind w:left="397"/>
            </w:pPr>
            <w:r>
              <w:rPr>
                <w:rFonts w:ascii="Verdana" w:eastAsia="Times New Roman" w:hAnsi="Verdana"/>
                <w:sz w:val="20"/>
                <w:szCs w:val="20"/>
              </w:rPr>
              <w:t>The Volcker Disinflation</w:t>
            </w:r>
          </w:p>
          <w:p w14:paraId="14427F4D" w14:textId="0A04B800" w:rsidR="005B3526" w:rsidRDefault="005B3526" w:rsidP="00C872F4">
            <w:pPr>
              <w:spacing w:before="100" w:beforeAutospacing="1" w:after="100" w:afterAutospacing="1"/>
              <w:ind w:left="37"/>
              <w:rPr>
                <w:rStyle w:val="Emphasis"/>
                <w:i w:val="0"/>
                <w:iCs w:val="0"/>
              </w:rPr>
            </w:pPr>
          </w:p>
        </w:tc>
        <w:tc>
          <w:tcPr>
            <w:tcW w:w="1616" w:type="dxa"/>
            <w:tcBorders>
              <w:top w:val="outset" w:sz="6" w:space="0" w:color="auto"/>
              <w:left w:val="outset" w:sz="6" w:space="0" w:color="auto"/>
              <w:bottom w:val="outset" w:sz="6" w:space="0" w:color="auto"/>
              <w:right w:val="outset" w:sz="6" w:space="0" w:color="auto"/>
            </w:tcBorders>
            <w:shd w:val="clear" w:color="auto" w:fill="FFFFCC"/>
            <w:hideMark/>
          </w:tcPr>
          <w:p w14:paraId="4BA0EE82" w14:textId="77777777" w:rsidR="00755194" w:rsidRDefault="00755194">
            <w:pPr>
              <w:pStyle w:val="NormalWeb"/>
              <w:rPr>
                <w:bCs/>
              </w:rPr>
            </w:pPr>
          </w:p>
          <w:p w14:paraId="561A744E" w14:textId="514B2A41" w:rsidR="006C32C4" w:rsidRPr="00755194" w:rsidRDefault="006C32C4">
            <w:pPr>
              <w:pStyle w:val="NormalWeb"/>
              <w:rPr>
                <w:bCs/>
              </w:rPr>
            </w:pPr>
            <w:r w:rsidRPr="00755194">
              <w:rPr>
                <w:bCs/>
              </w:rPr>
              <w:t>Will the US dollar lose its dominant global role in the next 30 years?</w:t>
            </w:r>
          </w:p>
        </w:tc>
        <w:tc>
          <w:tcPr>
            <w:tcW w:w="1972" w:type="dxa"/>
            <w:tcBorders>
              <w:top w:val="outset" w:sz="6" w:space="0" w:color="auto"/>
              <w:left w:val="outset" w:sz="6" w:space="0" w:color="auto"/>
              <w:bottom w:val="outset" w:sz="6" w:space="0" w:color="auto"/>
              <w:right w:val="outset" w:sz="6" w:space="0" w:color="auto"/>
            </w:tcBorders>
            <w:shd w:val="clear" w:color="auto" w:fill="FFFFCC"/>
          </w:tcPr>
          <w:p w14:paraId="4FECAB2D" w14:textId="77777777" w:rsidR="005B3526" w:rsidRDefault="005B3526">
            <w:pPr>
              <w:pStyle w:val="NormalWeb"/>
              <w:jc w:val="center"/>
              <w:rPr>
                <w:rFonts w:ascii="Verdana" w:hAnsi="Verdana"/>
                <w:sz w:val="16"/>
                <w:szCs w:val="16"/>
              </w:rPr>
            </w:pPr>
            <w:r>
              <w:rPr>
                <w:rFonts w:ascii="Verdana" w:hAnsi="Verdana"/>
                <w:b/>
                <w:sz w:val="20"/>
                <w:szCs w:val="20"/>
              </w:rPr>
              <w:t xml:space="preserve">Ch. 12 </w:t>
            </w:r>
            <w:r>
              <w:rPr>
                <w:rFonts w:ascii="Verdana" w:hAnsi="Verdana"/>
                <w:sz w:val="16"/>
                <w:szCs w:val="16"/>
              </w:rPr>
              <w:t>(307-319)</w:t>
            </w:r>
          </w:p>
          <w:p w14:paraId="456FCB31" w14:textId="77777777" w:rsidR="005B3526" w:rsidRDefault="005B3526">
            <w:pPr>
              <w:pStyle w:val="NormalWeb"/>
              <w:jc w:val="center"/>
              <w:rPr>
                <w:rFonts w:ascii="Verdana" w:hAnsi="Verdana"/>
                <w:b/>
                <w:sz w:val="20"/>
                <w:szCs w:val="20"/>
              </w:rPr>
            </w:pPr>
          </w:p>
          <w:p w14:paraId="6CD2FB94" w14:textId="77777777" w:rsidR="005B3526" w:rsidRDefault="005B3526">
            <w:pPr>
              <w:pStyle w:val="NormalWeb"/>
              <w:jc w:val="center"/>
              <w:rPr>
                <w:rFonts w:ascii="Verdana" w:hAnsi="Verdana"/>
                <w:b/>
                <w:sz w:val="20"/>
                <w:szCs w:val="20"/>
              </w:rPr>
            </w:pPr>
          </w:p>
        </w:tc>
        <w:tc>
          <w:tcPr>
            <w:tcW w:w="1896" w:type="dxa"/>
            <w:tcBorders>
              <w:top w:val="outset" w:sz="6" w:space="0" w:color="auto"/>
              <w:left w:val="outset" w:sz="6" w:space="0" w:color="auto"/>
              <w:bottom w:val="outset" w:sz="6" w:space="0" w:color="auto"/>
              <w:right w:val="outset" w:sz="6" w:space="0" w:color="auto"/>
            </w:tcBorders>
            <w:shd w:val="clear" w:color="auto" w:fill="FFFFCC"/>
            <w:hideMark/>
          </w:tcPr>
          <w:p w14:paraId="750A425E" w14:textId="77777777" w:rsidR="005B3526" w:rsidRDefault="005B3526">
            <w:pPr>
              <w:pStyle w:val="NormalWeb"/>
              <w:jc w:val="center"/>
              <w:rPr>
                <w:rFonts w:ascii="Verdana" w:hAnsi="Verdana"/>
                <w:b/>
                <w:sz w:val="20"/>
                <w:szCs w:val="20"/>
              </w:rPr>
            </w:pPr>
            <w:r>
              <w:rPr>
                <w:rFonts w:ascii="Verdana" w:hAnsi="Verdana"/>
                <w:b/>
                <w:sz w:val="20"/>
                <w:szCs w:val="20"/>
              </w:rPr>
              <w:t>Ch. 22</w:t>
            </w:r>
            <w:r>
              <w:rPr>
                <w:rFonts w:ascii="Verdana" w:hAnsi="Verdana"/>
                <w:sz w:val="16"/>
                <w:szCs w:val="16"/>
              </w:rPr>
              <w:br/>
              <w:t>(531-542)</w:t>
            </w:r>
          </w:p>
        </w:tc>
      </w:tr>
      <w:tr w:rsidR="005B3526" w14:paraId="6EB10E1C" w14:textId="77777777" w:rsidTr="005B3526">
        <w:trPr>
          <w:trHeight w:val="304"/>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FFFFCC"/>
            <w:hideMark/>
          </w:tcPr>
          <w:p w14:paraId="2AFDCC7C" w14:textId="77777777" w:rsidR="005B3526" w:rsidRDefault="005B3526">
            <w:pPr>
              <w:pStyle w:val="NormalWeb"/>
              <w:jc w:val="center"/>
              <w:rPr>
                <w:sz w:val="20"/>
                <w:szCs w:val="20"/>
              </w:rPr>
            </w:pPr>
            <w:r>
              <w:rPr>
                <w:rStyle w:val="Strong"/>
                <w:sz w:val="20"/>
                <w:szCs w:val="20"/>
              </w:rPr>
              <w:t>(6)</w:t>
            </w:r>
          </w:p>
        </w:tc>
        <w:tc>
          <w:tcPr>
            <w:tcW w:w="4285" w:type="dxa"/>
            <w:tcBorders>
              <w:top w:val="outset" w:sz="6" w:space="0" w:color="auto"/>
              <w:left w:val="outset" w:sz="6" w:space="0" w:color="auto"/>
              <w:bottom w:val="outset" w:sz="6" w:space="0" w:color="auto"/>
              <w:right w:val="outset" w:sz="6" w:space="0" w:color="auto"/>
            </w:tcBorders>
            <w:shd w:val="clear" w:color="auto" w:fill="FFFFCC"/>
            <w:hideMark/>
          </w:tcPr>
          <w:p w14:paraId="659A7455" w14:textId="77777777" w:rsidR="005B3526" w:rsidRDefault="005B3526">
            <w:pPr>
              <w:spacing w:before="100" w:beforeAutospacing="1" w:after="100" w:afterAutospacing="1"/>
              <w:rPr>
                <w:rFonts w:ascii="Verdana" w:eastAsia="Times New Roman" w:hAnsi="Verdana"/>
                <w:sz w:val="20"/>
                <w:szCs w:val="20"/>
              </w:rPr>
            </w:pPr>
            <w:r>
              <w:rPr>
                <w:rFonts w:ascii="Verdana" w:hAnsi="Verdana"/>
                <w:b/>
                <w:bCs/>
              </w:rPr>
              <w:t xml:space="preserve">Sources of Business Cycle Fluctuations </w:t>
            </w:r>
          </w:p>
          <w:p w14:paraId="716DBF10" w14:textId="77777777" w:rsidR="005B3526" w:rsidRDefault="005B3526">
            <w:pPr>
              <w:pStyle w:val="NormalWeb"/>
              <w:numPr>
                <w:ilvl w:val="0"/>
                <w:numId w:val="16"/>
              </w:numPr>
              <w:rPr>
                <w:rStyle w:val="Strong"/>
              </w:rPr>
            </w:pPr>
            <w:r>
              <w:rPr>
                <w:rStyle w:val="Strong"/>
                <w:b w:val="0"/>
                <w:sz w:val="20"/>
                <w:szCs w:val="20"/>
              </w:rPr>
              <w:t>The Money Market</w:t>
            </w:r>
            <w:r>
              <w:rPr>
                <w:rStyle w:val="Strong"/>
                <w:rFonts w:eastAsia="Times New Roman"/>
                <w:b w:val="0"/>
                <w:bCs w:val="0"/>
                <w:sz w:val="20"/>
                <w:szCs w:val="20"/>
              </w:rPr>
              <w:t xml:space="preserve"> Equilibrium and Real Interest Rates</w:t>
            </w:r>
          </w:p>
          <w:p w14:paraId="1A47AF04" w14:textId="77777777" w:rsidR="005B3526" w:rsidRDefault="005B3526">
            <w:pPr>
              <w:numPr>
                <w:ilvl w:val="0"/>
                <w:numId w:val="16"/>
              </w:numPr>
              <w:spacing w:before="100" w:beforeAutospacing="1" w:after="100" w:afterAutospacing="1"/>
              <w:rPr>
                <w:rStyle w:val="Strong"/>
                <w:rFonts w:eastAsia="Times New Roman"/>
                <w:b w:val="0"/>
                <w:bCs w:val="0"/>
                <w:sz w:val="20"/>
                <w:szCs w:val="20"/>
              </w:rPr>
            </w:pPr>
            <w:r>
              <w:rPr>
                <w:rFonts w:ascii="Verdana" w:eastAsia="Times New Roman" w:hAnsi="Verdana"/>
                <w:sz w:val="20"/>
                <w:szCs w:val="20"/>
              </w:rPr>
              <w:t>Sources of Business Cycles:</w:t>
            </w:r>
            <w:r>
              <w:rPr>
                <w:rFonts w:ascii="Verdana" w:eastAsia="Times New Roman" w:hAnsi="Verdana"/>
                <w:sz w:val="20"/>
                <w:szCs w:val="20"/>
              </w:rPr>
              <w:br/>
              <w:t>Demand and Supply Shocks</w:t>
            </w:r>
          </w:p>
        </w:tc>
        <w:tc>
          <w:tcPr>
            <w:tcW w:w="1616" w:type="dxa"/>
            <w:tcBorders>
              <w:top w:val="outset" w:sz="6" w:space="0" w:color="auto"/>
              <w:left w:val="outset" w:sz="6" w:space="0" w:color="auto"/>
              <w:bottom w:val="outset" w:sz="6" w:space="0" w:color="auto"/>
              <w:right w:val="outset" w:sz="6" w:space="0" w:color="auto"/>
            </w:tcBorders>
            <w:shd w:val="clear" w:color="auto" w:fill="FFFFCC"/>
          </w:tcPr>
          <w:p w14:paraId="4B11FD00" w14:textId="6EEBEE50" w:rsidR="005B3526" w:rsidRPr="00755194" w:rsidRDefault="005B3526">
            <w:pPr>
              <w:pStyle w:val="NormalWeb"/>
              <w:rPr>
                <w:b/>
              </w:rPr>
            </w:pPr>
            <w:r w:rsidRPr="00755194">
              <w:rPr>
                <w:b/>
              </w:rPr>
              <w:t>PS #1</w:t>
            </w:r>
          </w:p>
          <w:p w14:paraId="0F6CB627" w14:textId="6BC72768" w:rsidR="00BA64BD" w:rsidRPr="00755194" w:rsidRDefault="006C32C4">
            <w:pPr>
              <w:pStyle w:val="NormalWeb"/>
            </w:pPr>
            <w:r w:rsidRPr="00755194">
              <w:t>Does China determine Australia’s business</w:t>
            </w:r>
            <w:r w:rsidR="00BA64BD" w:rsidRPr="00755194">
              <w:t xml:space="preserve"> cycle?</w:t>
            </w:r>
          </w:p>
          <w:p w14:paraId="0C23CCF5" w14:textId="77777777" w:rsidR="005B3526" w:rsidRPr="00755194" w:rsidRDefault="005B3526">
            <w:pPr>
              <w:pStyle w:val="NormalWeb"/>
              <w:rPr>
                <w:b/>
              </w:rPr>
            </w:pPr>
          </w:p>
        </w:tc>
        <w:tc>
          <w:tcPr>
            <w:tcW w:w="1972" w:type="dxa"/>
            <w:tcBorders>
              <w:top w:val="outset" w:sz="6" w:space="0" w:color="auto"/>
              <w:left w:val="outset" w:sz="6" w:space="0" w:color="auto"/>
              <w:bottom w:val="outset" w:sz="6" w:space="0" w:color="auto"/>
              <w:right w:val="outset" w:sz="6" w:space="0" w:color="auto"/>
            </w:tcBorders>
            <w:shd w:val="clear" w:color="auto" w:fill="FFFFCC"/>
          </w:tcPr>
          <w:p w14:paraId="547A9251" w14:textId="77777777" w:rsidR="005B3526" w:rsidRDefault="005B3526">
            <w:pPr>
              <w:jc w:val="center"/>
              <w:rPr>
                <w:rFonts w:ascii="Verdana" w:hAnsi="Verdana"/>
                <w:sz w:val="16"/>
                <w:szCs w:val="16"/>
              </w:rPr>
            </w:pPr>
            <w:r>
              <w:rPr>
                <w:rFonts w:ascii="Verdana" w:hAnsi="Verdana"/>
                <w:b/>
                <w:sz w:val="20"/>
                <w:szCs w:val="20"/>
              </w:rPr>
              <w:t>Ch. 10</w:t>
            </w:r>
            <w:r>
              <w:rPr>
                <w:rFonts w:ascii="Verdana" w:hAnsi="Verdana"/>
                <w:sz w:val="16"/>
                <w:szCs w:val="16"/>
              </w:rPr>
              <w:t xml:space="preserve"> (263-268,</w:t>
            </w:r>
          </w:p>
          <w:p w14:paraId="7D4C19EB" w14:textId="77777777" w:rsidR="005B3526" w:rsidRDefault="005B3526">
            <w:pPr>
              <w:jc w:val="center"/>
              <w:rPr>
                <w:rFonts w:ascii="Verdana" w:hAnsi="Verdana"/>
                <w:sz w:val="16"/>
                <w:szCs w:val="16"/>
              </w:rPr>
            </w:pPr>
            <w:r>
              <w:rPr>
                <w:rFonts w:ascii="Verdana" w:hAnsi="Verdana"/>
                <w:sz w:val="16"/>
                <w:szCs w:val="16"/>
              </w:rPr>
              <w:t>273-278)</w:t>
            </w:r>
          </w:p>
          <w:p w14:paraId="6B8B4D2C" w14:textId="77777777" w:rsidR="005B3526" w:rsidRDefault="005B3526">
            <w:pPr>
              <w:jc w:val="center"/>
              <w:rPr>
                <w:rFonts w:ascii="Verdana" w:hAnsi="Verdana"/>
                <w:b/>
                <w:sz w:val="20"/>
                <w:szCs w:val="20"/>
              </w:rPr>
            </w:pPr>
          </w:p>
          <w:p w14:paraId="5A1C741D" w14:textId="77777777" w:rsidR="005B3526" w:rsidRDefault="005B3526">
            <w:pPr>
              <w:jc w:val="center"/>
              <w:rPr>
                <w:rFonts w:ascii="Verdana" w:eastAsia="Times New Roman" w:hAnsi="Verdana"/>
                <w:sz w:val="16"/>
                <w:szCs w:val="16"/>
              </w:rPr>
            </w:pPr>
          </w:p>
        </w:tc>
        <w:tc>
          <w:tcPr>
            <w:tcW w:w="1896" w:type="dxa"/>
            <w:tcBorders>
              <w:top w:val="outset" w:sz="6" w:space="0" w:color="auto"/>
              <w:left w:val="outset" w:sz="6" w:space="0" w:color="auto"/>
              <w:bottom w:val="outset" w:sz="6" w:space="0" w:color="auto"/>
              <w:right w:val="outset" w:sz="6" w:space="0" w:color="auto"/>
            </w:tcBorders>
            <w:shd w:val="clear" w:color="auto" w:fill="FFFFCC"/>
          </w:tcPr>
          <w:p w14:paraId="109F625E" w14:textId="77777777" w:rsidR="005B3526" w:rsidRDefault="005B3526">
            <w:pPr>
              <w:pStyle w:val="NormalWeb"/>
              <w:jc w:val="center"/>
              <w:rPr>
                <w:rFonts w:ascii="Verdana" w:hAnsi="Verdana"/>
                <w:sz w:val="16"/>
                <w:szCs w:val="16"/>
              </w:rPr>
            </w:pPr>
            <w:r>
              <w:rPr>
                <w:rFonts w:ascii="Verdana" w:hAnsi="Verdana"/>
                <w:b/>
                <w:sz w:val="20"/>
                <w:szCs w:val="20"/>
              </w:rPr>
              <w:t>Ch. 5</w:t>
            </w:r>
            <w:r>
              <w:rPr>
                <w:rFonts w:ascii="Verdana" w:hAnsi="Verdana"/>
                <w:sz w:val="16"/>
                <w:szCs w:val="16"/>
              </w:rPr>
              <w:br/>
              <w:t>(102-108)</w:t>
            </w:r>
          </w:p>
          <w:p w14:paraId="4D8D5DDB" w14:textId="77777777" w:rsidR="005B3526" w:rsidRDefault="005B3526">
            <w:pPr>
              <w:pStyle w:val="NormalWeb"/>
              <w:jc w:val="center"/>
              <w:rPr>
                <w:rFonts w:ascii="Verdana" w:hAnsi="Verdana"/>
                <w:sz w:val="16"/>
                <w:szCs w:val="16"/>
              </w:rPr>
            </w:pPr>
            <w:r>
              <w:rPr>
                <w:rFonts w:ascii="Verdana" w:hAnsi="Verdana"/>
                <w:b/>
                <w:sz w:val="20"/>
                <w:szCs w:val="20"/>
              </w:rPr>
              <w:t>Ch. 11</w:t>
            </w:r>
            <w:r>
              <w:rPr>
                <w:rFonts w:ascii="Verdana" w:hAnsi="Verdana"/>
                <w:sz w:val="16"/>
                <w:szCs w:val="16"/>
              </w:rPr>
              <w:br/>
              <w:t>(471-475)</w:t>
            </w:r>
          </w:p>
          <w:p w14:paraId="43566CC1" w14:textId="77777777" w:rsidR="005B3526" w:rsidRDefault="005B3526">
            <w:pPr>
              <w:pStyle w:val="NormalWeb"/>
              <w:jc w:val="center"/>
              <w:rPr>
                <w:rFonts w:ascii="Verdana" w:hAnsi="Verdana"/>
                <w:sz w:val="16"/>
                <w:szCs w:val="16"/>
              </w:rPr>
            </w:pPr>
          </w:p>
          <w:p w14:paraId="65970BEA" w14:textId="77777777" w:rsidR="005B3526" w:rsidRDefault="005B3526">
            <w:pPr>
              <w:pStyle w:val="NormalWeb"/>
              <w:jc w:val="center"/>
              <w:rPr>
                <w:rFonts w:ascii="Verdana" w:hAnsi="Verdana"/>
                <w:b/>
                <w:sz w:val="20"/>
                <w:szCs w:val="20"/>
              </w:rPr>
            </w:pPr>
          </w:p>
        </w:tc>
      </w:tr>
      <w:tr w:rsidR="005B3526" w14:paraId="2C86E917" w14:textId="77777777" w:rsidTr="005B3526">
        <w:trPr>
          <w:trHeight w:val="442"/>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FFFFCC"/>
            <w:hideMark/>
          </w:tcPr>
          <w:p w14:paraId="19773CEA" w14:textId="77777777" w:rsidR="005B3526" w:rsidRDefault="005B3526">
            <w:pPr>
              <w:pStyle w:val="NormalWeb"/>
              <w:jc w:val="center"/>
              <w:rPr>
                <w:sz w:val="20"/>
                <w:szCs w:val="20"/>
              </w:rPr>
            </w:pPr>
            <w:r>
              <w:rPr>
                <w:rStyle w:val="Strong"/>
                <w:sz w:val="20"/>
                <w:szCs w:val="20"/>
              </w:rPr>
              <w:lastRenderedPageBreak/>
              <w:t>(7)</w:t>
            </w:r>
          </w:p>
        </w:tc>
        <w:tc>
          <w:tcPr>
            <w:tcW w:w="4285" w:type="dxa"/>
            <w:tcBorders>
              <w:top w:val="outset" w:sz="6" w:space="0" w:color="auto"/>
              <w:left w:val="outset" w:sz="6" w:space="0" w:color="auto"/>
              <w:bottom w:val="outset" w:sz="6" w:space="0" w:color="auto"/>
              <w:right w:val="outset" w:sz="6" w:space="0" w:color="auto"/>
            </w:tcBorders>
            <w:shd w:val="clear" w:color="auto" w:fill="FFFFCC"/>
            <w:hideMark/>
          </w:tcPr>
          <w:p w14:paraId="0E68907D" w14:textId="3CEAE2F0" w:rsidR="005B3526" w:rsidRDefault="005B3526">
            <w:pPr>
              <w:spacing w:before="100" w:beforeAutospacing="1" w:after="100" w:afterAutospacing="1"/>
              <w:rPr>
                <w:rFonts w:ascii="Verdana" w:eastAsia="Times New Roman" w:hAnsi="Verdana"/>
                <w:sz w:val="20"/>
                <w:szCs w:val="20"/>
              </w:rPr>
            </w:pPr>
            <w:r>
              <w:rPr>
                <w:rFonts w:ascii="Verdana" w:hAnsi="Verdana"/>
                <w:b/>
                <w:bCs/>
              </w:rPr>
              <w:t>Macro Stabilization Policy</w:t>
            </w:r>
            <w:r>
              <w:rPr>
                <w:rFonts w:ascii="Verdana" w:eastAsia="Times New Roman" w:hAnsi="Verdana"/>
                <w:sz w:val="20"/>
                <w:szCs w:val="20"/>
              </w:rPr>
              <w:t xml:space="preserve"> </w:t>
            </w:r>
          </w:p>
          <w:p w14:paraId="5C7BB6B8" w14:textId="77777777" w:rsidR="005B3526" w:rsidRDefault="005B3526">
            <w:pPr>
              <w:numPr>
                <w:ilvl w:val="0"/>
                <w:numId w:val="18"/>
              </w:numPr>
              <w:tabs>
                <w:tab w:val="clear" w:pos="360"/>
                <w:tab w:val="num" w:pos="447"/>
              </w:tabs>
              <w:spacing w:before="100" w:beforeAutospacing="1" w:after="100" w:afterAutospacing="1"/>
              <w:ind w:left="447"/>
              <w:rPr>
                <w:rFonts w:ascii="Verdana" w:eastAsia="Times New Roman" w:hAnsi="Verdana"/>
                <w:sz w:val="20"/>
                <w:szCs w:val="20"/>
              </w:rPr>
            </w:pPr>
            <w:r>
              <w:rPr>
                <w:rFonts w:ascii="Verdana" w:eastAsia="Times New Roman" w:hAnsi="Verdana"/>
                <w:sz w:val="20"/>
                <w:szCs w:val="20"/>
              </w:rPr>
              <w:t>Monetary and Fiscal Policy as Stabilization Tools</w:t>
            </w:r>
          </w:p>
          <w:p w14:paraId="111D8A3D" w14:textId="77777777" w:rsidR="005B3526" w:rsidRDefault="005B3526">
            <w:pPr>
              <w:numPr>
                <w:ilvl w:val="0"/>
                <w:numId w:val="18"/>
              </w:numPr>
              <w:tabs>
                <w:tab w:val="clear" w:pos="360"/>
                <w:tab w:val="num" w:pos="447"/>
              </w:tabs>
              <w:spacing w:before="100" w:beforeAutospacing="1" w:after="100" w:afterAutospacing="1"/>
              <w:ind w:left="447"/>
              <w:rPr>
                <w:rStyle w:val="Strong"/>
                <w:b w:val="0"/>
                <w:bCs w:val="0"/>
              </w:rPr>
            </w:pPr>
            <w:r>
              <w:rPr>
                <w:rStyle w:val="Strong"/>
                <w:b w:val="0"/>
                <w:sz w:val="20"/>
                <w:szCs w:val="20"/>
              </w:rPr>
              <w:t>The Keynesian vs. the Classical View</w:t>
            </w:r>
          </w:p>
          <w:p w14:paraId="354CEE06" w14:textId="77777777" w:rsidR="005B3526" w:rsidRDefault="005B3526">
            <w:pPr>
              <w:numPr>
                <w:ilvl w:val="0"/>
                <w:numId w:val="18"/>
              </w:numPr>
              <w:tabs>
                <w:tab w:val="clear" w:pos="360"/>
                <w:tab w:val="num" w:pos="447"/>
              </w:tabs>
              <w:spacing w:before="100" w:beforeAutospacing="1" w:after="100" w:afterAutospacing="1"/>
              <w:ind w:left="447"/>
            </w:pPr>
            <w:r>
              <w:rPr>
                <w:rStyle w:val="Strong"/>
                <w:b w:val="0"/>
                <w:sz w:val="20"/>
                <w:szCs w:val="20"/>
              </w:rPr>
              <w:t>The Modern Consensus View</w:t>
            </w:r>
          </w:p>
          <w:p w14:paraId="635427EE" w14:textId="08E56644" w:rsidR="005B3526" w:rsidRDefault="005B3526">
            <w:pPr>
              <w:pStyle w:val="NormalWeb"/>
              <w:numPr>
                <w:ilvl w:val="0"/>
                <w:numId w:val="16"/>
              </w:numPr>
              <w:ind w:left="447"/>
              <w:rPr>
                <w:rFonts w:ascii="Verdana" w:eastAsia="Times New Roman" w:hAnsi="Verdana"/>
                <w:b/>
                <w:bCs/>
                <w:sz w:val="20"/>
                <w:szCs w:val="20"/>
              </w:rPr>
            </w:pPr>
            <w:r>
              <w:rPr>
                <w:rStyle w:val="Strong"/>
                <w:rFonts w:eastAsia="Times New Roman"/>
                <w:sz w:val="20"/>
                <w:szCs w:val="20"/>
              </w:rPr>
              <w:t>Student presentation 3</w:t>
            </w:r>
            <w:r>
              <w:rPr>
                <w:rFonts w:ascii="Verdana" w:eastAsia="Times New Roman" w:hAnsi="Verdana"/>
                <w:sz w:val="20"/>
                <w:szCs w:val="20"/>
              </w:rPr>
              <w:t xml:space="preserve">: </w:t>
            </w:r>
            <w:r>
              <w:rPr>
                <w:rFonts w:ascii="Verdana" w:hAnsi="Verdana" w:cs="Helvetica"/>
                <w:i/>
                <w:color w:val="333333"/>
                <w:sz w:val="20"/>
                <w:szCs w:val="20"/>
              </w:rPr>
              <w:t xml:space="preserve">Should the Federal Reserve cut rates </w:t>
            </w:r>
            <w:r w:rsidR="001D694A">
              <w:rPr>
                <w:rFonts w:ascii="Verdana" w:hAnsi="Verdana" w:cs="Helvetica"/>
                <w:i/>
                <w:color w:val="333333"/>
                <w:sz w:val="20"/>
                <w:szCs w:val="20"/>
              </w:rPr>
              <w:t>now</w:t>
            </w:r>
            <w:r>
              <w:rPr>
                <w:rFonts w:ascii="Verdana" w:hAnsi="Verdana" w:cs="Helvetica"/>
                <w:i/>
                <w:color w:val="333333"/>
                <w:sz w:val="20"/>
                <w:szCs w:val="20"/>
              </w:rPr>
              <w:t>?</w:t>
            </w:r>
          </w:p>
        </w:tc>
        <w:tc>
          <w:tcPr>
            <w:tcW w:w="1616" w:type="dxa"/>
            <w:tcBorders>
              <w:top w:val="outset" w:sz="6" w:space="0" w:color="auto"/>
              <w:left w:val="outset" w:sz="6" w:space="0" w:color="auto"/>
              <w:bottom w:val="outset" w:sz="6" w:space="0" w:color="auto"/>
              <w:right w:val="outset" w:sz="6" w:space="0" w:color="auto"/>
            </w:tcBorders>
            <w:shd w:val="clear" w:color="auto" w:fill="FFFFCC"/>
            <w:hideMark/>
          </w:tcPr>
          <w:p w14:paraId="192A8A9E" w14:textId="523FBCF0" w:rsidR="00F1568F" w:rsidRPr="00755194" w:rsidRDefault="005B3526">
            <w:pPr>
              <w:pStyle w:val="NormalWeb"/>
              <w:rPr>
                <w:b/>
              </w:rPr>
            </w:pPr>
            <w:r w:rsidRPr="00755194">
              <w:rPr>
                <w:b/>
              </w:rPr>
              <w:t>Student</w:t>
            </w:r>
            <w:r w:rsidRPr="00755194">
              <w:rPr>
                <w:b/>
              </w:rPr>
              <w:br/>
              <w:t xml:space="preserve">Debate </w:t>
            </w:r>
          </w:p>
          <w:p w14:paraId="01B29C38" w14:textId="24C3AD25" w:rsidR="00F1568F" w:rsidRPr="00755194" w:rsidRDefault="006C32C4">
            <w:pPr>
              <w:pStyle w:val="NormalWeb"/>
              <w:rPr>
                <w:bCs/>
              </w:rPr>
            </w:pPr>
            <w:r w:rsidRPr="00755194">
              <w:rPr>
                <w:bCs/>
              </w:rPr>
              <w:t>Would Biden’s tax increase lead to a recession?</w:t>
            </w:r>
          </w:p>
          <w:p w14:paraId="2E8CC7CE" w14:textId="26037F3A" w:rsidR="00F1568F" w:rsidRPr="00755194" w:rsidRDefault="00F1568F">
            <w:pPr>
              <w:pStyle w:val="NormalWeb"/>
              <w:rPr>
                <w:bCs/>
              </w:rPr>
            </w:pPr>
            <w:r w:rsidRPr="00755194">
              <w:rPr>
                <w:bCs/>
              </w:rPr>
              <w:t>Reading: Summer on the Biden package</w:t>
            </w:r>
          </w:p>
        </w:tc>
        <w:tc>
          <w:tcPr>
            <w:tcW w:w="1972" w:type="dxa"/>
            <w:tcBorders>
              <w:top w:val="outset" w:sz="6" w:space="0" w:color="auto"/>
              <w:left w:val="outset" w:sz="6" w:space="0" w:color="auto"/>
              <w:bottom w:val="outset" w:sz="6" w:space="0" w:color="auto"/>
              <w:right w:val="outset" w:sz="6" w:space="0" w:color="auto"/>
            </w:tcBorders>
            <w:shd w:val="clear" w:color="auto" w:fill="FFFFCC"/>
          </w:tcPr>
          <w:p w14:paraId="69D9E45A" w14:textId="77777777" w:rsidR="005B3526" w:rsidRDefault="005B3526">
            <w:pPr>
              <w:jc w:val="center"/>
              <w:rPr>
                <w:rFonts w:ascii="Verdana" w:hAnsi="Verdana"/>
                <w:b/>
                <w:sz w:val="20"/>
                <w:szCs w:val="20"/>
              </w:rPr>
            </w:pPr>
            <w:r>
              <w:rPr>
                <w:rFonts w:ascii="Verdana" w:hAnsi="Verdana"/>
                <w:b/>
                <w:sz w:val="20"/>
                <w:szCs w:val="20"/>
              </w:rPr>
              <w:t>Ch. 8</w:t>
            </w:r>
            <w:r>
              <w:rPr>
                <w:rFonts w:ascii="Verdana" w:hAnsi="Verdana"/>
                <w:sz w:val="16"/>
                <w:szCs w:val="16"/>
              </w:rPr>
              <w:t xml:space="preserve"> (221-225)</w:t>
            </w:r>
          </w:p>
          <w:p w14:paraId="671A4B93" w14:textId="77777777" w:rsidR="005B3526" w:rsidRDefault="005B3526">
            <w:pPr>
              <w:jc w:val="center"/>
              <w:rPr>
                <w:rFonts w:ascii="Verdana" w:hAnsi="Verdana"/>
                <w:b/>
                <w:sz w:val="20"/>
                <w:szCs w:val="20"/>
              </w:rPr>
            </w:pPr>
          </w:p>
          <w:p w14:paraId="76D24268" w14:textId="77777777" w:rsidR="005B3526" w:rsidRDefault="005B3526">
            <w:pPr>
              <w:jc w:val="center"/>
              <w:rPr>
                <w:rFonts w:ascii="Verdana" w:hAnsi="Verdana"/>
                <w:b/>
                <w:sz w:val="20"/>
                <w:szCs w:val="20"/>
              </w:rPr>
            </w:pPr>
            <w:r>
              <w:rPr>
                <w:rFonts w:ascii="Verdana" w:hAnsi="Verdana"/>
                <w:b/>
                <w:sz w:val="20"/>
                <w:szCs w:val="20"/>
              </w:rPr>
              <w:t>Ch. 13</w:t>
            </w:r>
            <w:r>
              <w:rPr>
                <w:rFonts w:ascii="Verdana" w:hAnsi="Verdana"/>
                <w:sz w:val="16"/>
                <w:szCs w:val="16"/>
              </w:rPr>
              <w:t xml:space="preserve"> (330-342)</w:t>
            </w:r>
          </w:p>
          <w:p w14:paraId="7B4A8138" w14:textId="77777777" w:rsidR="005B3526" w:rsidRDefault="005B3526">
            <w:pPr>
              <w:jc w:val="center"/>
              <w:rPr>
                <w:rFonts w:ascii="Verdana" w:hAnsi="Verdana"/>
                <w:b/>
                <w:sz w:val="20"/>
                <w:szCs w:val="20"/>
              </w:rPr>
            </w:pPr>
          </w:p>
        </w:tc>
        <w:tc>
          <w:tcPr>
            <w:tcW w:w="1896" w:type="dxa"/>
            <w:tcBorders>
              <w:top w:val="outset" w:sz="6" w:space="0" w:color="auto"/>
              <w:left w:val="outset" w:sz="6" w:space="0" w:color="auto"/>
              <w:bottom w:val="outset" w:sz="6" w:space="0" w:color="auto"/>
              <w:right w:val="outset" w:sz="6" w:space="0" w:color="auto"/>
            </w:tcBorders>
            <w:shd w:val="clear" w:color="auto" w:fill="FFFFCC"/>
            <w:hideMark/>
          </w:tcPr>
          <w:p w14:paraId="744C41D8" w14:textId="77777777" w:rsidR="005B3526" w:rsidRDefault="005B3526">
            <w:pPr>
              <w:jc w:val="center"/>
              <w:rPr>
                <w:rFonts w:ascii="Verdana" w:hAnsi="Verdana"/>
                <w:b/>
                <w:sz w:val="20"/>
                <w:szCs w:val="20"/>
              </w:rPr>
            </w:pPr>
            <w:r>
              <w:rPr>
                <w:rFonts w:ascii="Verdana" w:hAnsi="Verdana"/>
                <w:b/>
                <w:sz w:val="20"/>
                <w:szCs w:val="20"/>
              </w:rPr>
              <w:t>Ch. 23</w:t>
            </w:r>
            <w:r>
              <w:rPr>
                <w:rFonts w:ascii="Verdana" w:hAnsi="Verdana"/>
                <w:sz w:val="16"/>
                <w:szCs w:val="16"/>
              </w:rPr>
              <w:br/>
              <w:t>(559-568)</w:t>
            </w:r>
          </w:p>
        </w:tc>
      </w:tr>
      <w:tr w:rsidR="005B3526" w14:paraId="093BF91F" w14:textId="77777777" w:rsidTr="005B3526">
        <w:trPr>
          <w:trHeight w:val="360"/>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FFFFCC"/>
            <w:hideMark/>
          </w:tcPr>
          <w:p w14:paraId="4EA8E74E" w14:textId="77777777" w:rsidR="005B3526" w:rsidRDefault="005B3526">
            <w:pPr>
              <w:pStyle w:val="NormalWeb"/>
              <w:jc w:val="center"/>
              <w:rPr>
                <w:sz w:val="20"/>
                <w:szCs w:val="20"/>
              </w:rPr>
            </w:pPr>
            <w:r>
              <w:rPr>
                <w:rStyle w:val="Strong"/>
                <w:sz w:val="20"/>
                <w:szCs w:val="20"/>
              </w:rPr>
              <w:t>(8)</w:t>
            </w:r>
          </w:p>
        </w:tc>
        <w:tc>
          <w:tcPr>
            <w:tcW w:w="4285" w:type="dxa"/>
            <w:tcBorders>
              <w:top w:val="outset" w:sz="6" w:space="0" w:color="auto"/>
              <w:left w:val="outset" w:sz="6" w:space="0" w:color="auto"/>
              <w:bottom w:val="outset" w:sz="6" w:space="0" w:color="auto"/>
              <w:right w:val="outset" w:sz="6" w:space="0" w:color="auto"/>
            </w:tcBorders>
            <w:shd w:val="clear" w:color="auto" w:fill="FFFFCC"/>
            <w:hideMark/>
          </w:tcPr>
          <w:p w14:paraId="40BE6DE8" w14:textId="77777777" w:rsidR="005B3526" w:rsidRDefault="005B3526">
            <w:pPr>
              <w:pStyle w:val="NormalWeb"/>
            </w:pPr>
            <w:r>
              <w:rPr>
                <w:rStyle w:val="Strong"/>
              </w:rPr>
              <w:t>Monetary Policy in Action</w:t>
            </w:r>
          </w:p>
          <w:p w14:paraId="648B3D90" w14:textId="77777777" w:rsidR="005B3526" w:rsidRDefault="005B3526">
            <w:pPr>
              <w:numPr>
                <w:ilvl w:val="0"/>
                <w:numId w:val="20"/>
              </w:numPr>
              <w:tabs>
                <w:tab w:val="clear" w:pos="360"/>
                <w:tab w:val="num" w:pos="447"/>
              </w:tabs>
              <w:spacing w:before="100" w:beforeAutospacing="1" w:after="100" w:afterAutospacing="1"/>
              <w:ind w:left="447"/>
              <w:rPr>
                <w:rFonts w:ascii="Verdana" w:eastAsia="Times New Roman" w:hAnsi="Verdana"/>
                <w:sz w:val="20"/>
                <w:szCs w:val="20"/>
              </w:rPr>
            </w:pPr>
            <w:r>
              <w:rPr>
                <w:rFonts w:ascii="Verdana" w:eastAsia="Times New Roman" w:hAnsi="Verdana"/>
                <w:sz w:val="20"/>
                <w:szCs w:val="20"/>
              </w:rPr>
              <w:t>Structure of Central Banks</w:t>
            </w:r>
          </w:p>
          <w:p w14:paraId="4CC5A6D0" w14:textId="77777777" w:rsidR="005B3526" w:rsidRDefault="005B3526">
            <w:pPr>
              <w:numPr>
                <w:ilvl w:val="0"/>
                <w:numId w:val="20"/>
              </w:numPr>
              <w:tabs>
                <w:tab w:val="clear" w:pos="360"/>
                <w:tab w:val="num" w:pos="447"/>
              </w:tabs>
              <w:spacing w:before="100" w:beforeAutospacing="1" w:after="100" w:afterAutospacing="1"/>
              <w:ind w:left="447"/>
              <w:rPr>
                <w:rFonts w:ascii="Verdana" w:eastAsia="Times New Roman" w:hAnsi="Verdana"/>
                <w:sz w:val="20"/>
                <w:szCs w:val="20"/>
              </w:rPr>
            </w:pPr>
            <w:r>
              <w:rPr>
                <w:rFonts w:ascii="Verdana" w:eastAsia="Times New Roman" w:hAnsi="Verdana"/>
                <w:sz w:val="20"/>
                <w:szCs w:val="20"/>
              </w:rPr>
              <w:t>Monetary Policy Objectives</w:t>
            </w:r>
          </w:p>
          <w:p w14:paraId="559D49CF" w14:textId="77777777" w:rsidR="005B3526" w:rsidRDefault="005B3526">
            <w:pPr>
              <w:numPr>
                <w:ilvl w:val="0"/>
                <w:numId w:val="20"/>
              </w:numPr>
              <w:tabs>
                <w:tab w:val="clear" w:pos="360"/>
                <w:tab w:val="num" w:pos="447"/>
              </w:tabs>
              <w:spacing w:before="100" w:beforeAutospacing="1" w:after="100" w:afterAutospacing="1"/>
              <w:ind w:left="447"/>
              <w:rPr>
                <w:rFonts w:ascii="Verdana" w:eastAsia="Times New Roman" w:hAnsi="Verdana"/>
                <w:sz w:val="20"/>
                <w:szCs w:val="20"/>
              </w:rPr>
            </w:pPr>
            <w:r>
              <w:rPr>
                <w:rFonts w:ascii="Verdana" w:eastAsia="Times New Roman" w:hAnsi="Verdana"/>
                <w:sz w:val="20"/>
                <w:szCs w:val="20"/>
              </w:rPr>
              <w:t>Conventional Monetary Policy</w:t>
            </w:r>
          </w:p>
          <w:p w14:paraId="0E2578A6" w14:textId="77777777" w:rsidR="005B3526" w:rsidRDefault="005B3526">
            <w:pPr>
              <w:numPr>
                <w:ilvl w:val="0"/>
                <w:numId w:val="20"/>
              </w:numPr>
              <w:tabs>
                <w:tab w:val="clear" w:pos="360"/>
                <w:tab w:val="num" w:pos="447"/>
              </w:tabs>
              <w:spacing w:before="100" w:beforeAutospacing="1" w:after="100" w:afterAutospacing="1"/>
              <w:ind w:left="447"/>
              <w:rPr>
                <w:rFonts w:ascii="Verdana" w:eastAsia="Times New Roman" w:hAnsi="Verdana"/>
                <w:sz w:val="20"/>
                <w:szCs w:val="20"/>
              </w:rPr>
            </w:pPr>
            <w:r>
              <w:rPr>
                <w:rFonts w:ascii="Verdana" w:eastAsia="Times New Roman" w:hAnsi="Verdana"/>
                <w:sz w:val="20"/>
                <w:szCs w:val="20"/>
              </w:rPr>
              <w:t>Challenges and Limitations of Policy</w:t>
            </w:r>
          </w:p>
          <w:p w14:paraId="10A4464B" w14:textId="77777777" w:rsidR="005B3526" w:rsidRPr="002541CD" w:rsidRDefault="005B3526" w:rsidP="001D694A">
            <w:pPr>
              <w:numPr>
                <w:ilvl w:val="0"/>
                <w:numId w:val="20"/>
              </w:numPr>
              <w:tabs>
                <w:tab w:val="clear" w:pos="360"/>
                <w:tab w:val="num" w:pos="447"/>
              </w:tabs>
              <w:spacing w:before="100" w:beforeAutospacing="1" w:after="100" w:afterAutospacing="1"/>
              <w:ind w:left="447"/>
              <w:rPr>
                <w:rFonts w:ascii="Verdana" w:eastAsia="Times New Roman" w:hAnsi="Verdana"/>
                <w:sz w:val="20"/>
                <w:szCs w:val="20"/>
              </w:rPr>
            </w:pPr>
            <w:r>
              <w:rPr>
                <w:rFonts w:ascii="Verdana" w:eastAsia="Times New Roman" w:hAnsi="Verdana"/>
                <w:b/>
                <w:sz w:val="20"/>
                <w:szCs w:val="20"/>
              </w:rPr>
              <w:t>Case 1</w:t>
            </w:r>
            <w:r>
              <w:rPr>
                <w:rFonts w:ascii="Verdana" w:eastAsia="Times New Roman" w:hAnsi="Verdana"/>
                <w:sz w:val="20"/>
                <w:szCs w:val="20"/>
              </w:rPr>
              <w:t xml:space="preserve">: </w:t>
            </w:r>
            <w:r>
              <w:rPr>
                <w:rFonts w:ascii="Verdana" w:eastAsia="Times New Roman" w:hAnsi="Verdana"/>
                <w:i/>
                <w:iCs/>
                <w:sz w:val="20"/>
                <w:szCs w:val="20"/>
              </w:rPr>
              <w:t>Monetary policy in action: The FOMC meeting of 1992</w:t>
            </w:r>
          </w:p>
          <w:p w14:paraId="57253AA8" w14:textId="44F233B6" w:rsidR="002541CD" w:rsidRPr="002541CD" w:rsidRDefault="00EC6C6D" w:rsidP="00EC6C6D">
            <w:pPr>
              <w:spacing w:before="100" w:beforeAutospacing="1" w:after="100" w:afterAutospacing="1"/>
              <w:rPr>
                <w:rFonts w:ascii="Verdana" w:eastAsia="Times New Roman" w:hAnsi="Verdana"/>
                <w:sz w:val="20"/>
                <w:szCs w:val="20"/>
              </w:rPr>
            </w:pPr>
            <w:r>
              <w:rPr>
                <w:rFonts w:ascii="Verdana" w:eastAsia="Times New Roman" w:hAnsi="Verdana"/>
                <w:sz w:val="20"/>
                <w:szCs w:val="20"/>
              </w:rPr>
              <w:t>Would General Ne Win’s (Myanmar) disinflation strategy work?</w:t>
            </w:r>
          </w:p>
        </w:tc>
        <w:tc>
          <w:tcPr>
            <w:tcW w:w="1616" w:type="dxa"/>
            <w:tcBorders>
              <w:top w:val="outset" w:sz="6" w:space="0" w:color="auto"/>
              <w:left w:val="outset" w:sz="6" w:space="0" w:color="auto"/>
              <w:bottom w:val="outset" w:sz="6" w:space="0" w:color="auto"/>
              <w:right w:val="outset" w:sz="6" w:space="0" w:color="auto"/>
            </w:tcBorders>
            <w:shd w:val="clear" w:color="auto" w:fill="FFFFCC"/>
            <w:hideMark/>
          </w:tcPr>
          <w:p w14:paraId="3450FC22" w14:textId="77777777" w:rsidR="005B3526" w:rsidRPr="00755194" w:rsidRDefault="005B3526">
            <w:pPr>
              <w:pStyle w:val="NormalWeb"/>
              <w:rPr>
                <w:rStyle w:val="Emphasis"/>
                <w:b/>
              </w:rPr>
            </w:pPr>
            <w:r w:rsidRPr="00755194">
              <w:rPr>
                <w:b/>
              </w:rPr>
              <w:t xml:space="preserve">Case 1: </w:t>
            </w:r>
            <w:r w:rsidRPr="00755194">
              <w:rPr>
                <w:rStyle w:val="Emphasis"/>
                <w:b/>
              </w:rPr>
              <w:t>Monetary policy in action</w:t>
            </w:r>
          </w:p>
          <w:p w14:paraId="4A48278E" w14:textId="17CA789A" w:rsidR="00EC6C6D" w:rsidRPr="00755194" w:rsidRDefault="00EC6C6D" w:rsidP="00F1568F">
            <w:pPr>
              <w:pStyle w:val="NormalWeb"/>
              <w:rPr>
                <w:bCs/>
              </w:rPr>
            </w:pPr>
            <w:r w:rsidRPr="00755194">
              <w:rPr>
                <w:bCs/>
              </w:rPr>
              <w:t xml:space="preserve">Will Japan’s inflation </w:t>
            </w:r>
            <w:r w:rsidR="00755194" w:rsidRPr="00755194">
              <w:rPr>
                <w:bCs/>
              </w:rPr>
              <w:t xml:space="preserve">rate </w:t>
            </w:r>
            <w:r w:rsidRPr="00755194">
              <w:rPr>
                <w:bCs/>
              </w:rPr>
              <w:t>rise above 2% by</w:t>
            </w:r>
            <w:r w:rsidR="00755194" w:rsidRPr="00755194">
              <w:rPr>
                <w:bCs/>
              </w:rPr>
              <w:t xml:space="preserve"> end of 2021</w:t>
            </w:r>
            <w:r w:rsidRPr="00755194">
              <w:rPr>
                <w:bCs/>
              </w:rPr>
              <w:t>?</w:t>
            </w:r>
          </w:p>
        </w:tc>
        <w:tc>
          <w:tcPr>
            <w:tcW w:w="1972" w:type="dxa"/>
            <w:tcBorders>
              <w:top w:val="outset" w:sz="6" w:space="0" w:color="auto"/>
              <w:left w:val="outset" w:sz="6" w:space="0" w:color="auto"/>
              <w:bottom w:val="outset" w:sz="6" w:space="0" w:color="auto"/>
              <w:right w:val="outset" w:sz="6" w:space="0" w:color="auto"/>
            </w:tcBorders>
            <w:shd w:val="clear" w:color="auto" w:fill="FFFFCC"/>
            <w:hideMark/>
          </w:tcPr>
          <w:p w14:paraId="4D225B56" w14:textId="77777777" w:rsidR="005B3526" w:rsidRDefault="005B3526">
            <w:pPr>
              <w:pStyle w:val="NormalWeb"/>
              <w:jc w:val="center"/>
              <w:rPr>
                <w:rFonts w:ascii="Verdana" w:hAnsi="Verdana"/>
                <w:sz w:val="16"/>
                <w:szCs w:val="16"/>
              </w:rPr>
            </w:pPr>
            <w:r>
              <w:rPr>
                <w:rFonts w:ascii="Verdana" w:hAnsi="Verdana"/>
                <w:b/>
                <w:sz w:val="20"/>
                <w:szCs w:val="20"/>
              </w:rPr>
              <w:t>Ch. 13</w:t>
            </w:r>
            <w:r>
              <w:rPr>
                <w:rFonts w:ascii="Verdana" w:hAnsi="Verdana"/>
                <w:sz w:val="16"/>
                <w:szCs w:val="16"/>
              </w:rPr>
              <w:t xml:space="preserve"> (327-330, 343-348)</w:t>
            </w:r>
          </w:p>
        </w:tc>
        <w:tc>
          <w:tcPr>
            <w:tcW w:w="1896" w:type="dxa"/>
            <w:tcBorders>
              <w:top w:val="outset" w:sz="6" w:space="0" w:color="auto"/>
              <w:left w:val="outset" w:sz="6" w:space="0" w:color="auto"/>
              <w:bottom w:val="outset" w:sz="6" w:space="0" w:color="auto"/>
              <w:right w:val="outset" w:sz="6" w:space="0" w:color="auto"/>
            </w:tcBorders>
            <w:shd w:val="clear" w:color="auto" w:fill="FFFFCC"/>
          </w:tcPr>
          <w:p w14:paraId="3A16C989" w14:textId="77777777" w:rsidR="005B3526" w:rsidRDefault="005B3526">
            <w:pPr>
              <w:pStyle w:val="NormalWeb"/>
              <w:jc w:val="center"/>
              <w:rPr>
                <w:rFonts w:ascii="Verdana" w:hAnsi="Verdana"/>
                <w:sz w:val="16"/>
                <w:szCs w:val="16"/>
              </w:rPr>
            </w:pPr>
            <w:r>
              <w:rPr>
                <w:rFonts w:ascii="Verdana" w:hAnsi="Verdana"/>
                <w:b/>
                <w:sz w:val="20"/>
                <w:szCs w:val="20"/>
              </w:rPr>
              <w:t>Ch. 16</w:t>
            </w:r>
            <w:r>
              <w:rPr>
                <w:rFonts w:ascii="Verdana" w:hAnsi="Verdana"/>
                <w:sz w:val="16"/>
                <w:szCs w:val="16"/>
              </w:rPr>
              <w:br/>
              <w:t>(369-374)</w:t>
            </w:r>
          </w:p>
          <w:p w14:paraId="173E57B3" w14:textId="77777777" w:rsidR="005B3526" w:rsidRDefault="005B3526">
            <w:pPr>
              <w:pStyle w:val="NormalWeb"/>
              <w:jc w:val="center"/>
              <w:rPr>
                <w:rFonts w:ascii="Verdana" w:hAnsi="Verdana"/>
                <w:sz w:val="16"/>
                <w:szCs w:val="16"/>
              </w:rPr>
            </w:pPr>
            <w:r>
              <w:rPr>
                <w:rFonts w:ascii="Verdana" w:hAnsi="Verdana"/>
                <w:b/>
                <w:sz w:val="20"/>
                <w:szCs w:val="20"/>
              </w:rPr>
              <w:t>Ch. 23</w:t>
            </w:r>
            <w:r>
              <w:rPr>
                <w:rFonts w:ascii="Verdana" w:hAnsi="Verdana"/>
                <w:b/>
                <w:sz w:val="20"/>
                <w:szCs w:val="20"/>
              </w:rPr>
              <w:br/>
            </w:r>
            <w:r>
              <w:rPr>
                <w:rFonts w:ascii="Verdana" w:hAnsi="Verdana"/>
                <w:sz w:val="16"/>
                <w:szCs w:val="16"/>
              </w:rPr>
              <w:t>(567-568)</w:t>
            </w:r>
          </w:p>
          <w:p w14:paraId="4DB73A14" w14:textId="77777777" w:rsidR="005B3526" w:rsidRDefault="005B3526">
            <w:pPr>
              <w:pStyle w:val="NormalWeb"/>
              <w:jc w:val="center"/>
              <w:rPr>
                <w:rFonts w:ascii="Verdana" w:hAnsi="Verdana"/>
                <w:b/>
                <w:sz w:val="20"/>
                <w:szCs w:val="20"/>
              </w:rPr>
            </w:pPr>
          </w:p>
        </w:tc>
      </w:tr>
      <w:tr w:rsidR="005B3526" w14:paraId="66EF85C2" w14:textId="77777777" w:rsidTr="005B3526">
        <w:trPr>
          <w:trHeight w:val="223"/>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FFFFCC"/>
            <w:hideMark/>
          </w:tcPr>
          <w:p w14:paraId="5CD0C44C" w14:textId="77777777" w:rsidR="005B3526" w:rsidRDefault="005B3526">
            <w:pPr>
              <w:pStyle w:val="NormalWeb"/>
              <w:jc w:val="center"/>
              <w:rPr>
                <w:sz w:val="20"/>
                <w:szCs w:val="20"/>
              </w:rPr>
            </w:pPr>
            <w:r>
              <w:rPr>
                <w:rStyle w:val="Strong"/>
                <w:sz w:val="20"/>
                <w:szCs w:val="20"/>
              </w:rPr>
              <w:t>(9)</w:t>
            </w:r>
          </w:p>
        </w:tc>
        <w:tc>
          <w:tcPr>
            <w:tcW w:w="4285" w:type="dxa"/>
            <w:tcBorders>
              <w:top w:val="outset" w:sz="6" w:space="0" w:color="auto"/>
              <w:left w:val="outset" w:sz="6" w:space="0" w:color="auto"/>
              <w:bottom w:val="outset" w:sz="6" w:space="0" w:color="auto"/>
              <w:right w:val="outset" w:sz="6" w:space="0" w:color="auto"/>
            </w:tcBorders>
            <w:shd w:val="clear" w:color="auto" w:fill="FFFFCC"/>
            <w:hideMark/>
          </w:tcPr>
          <w:p w14:paraId="30E7B564" w14:textId="77777777" w:rsidR="002541CD" w:rsidRDefault="002541CD" w:rsidP="002541CD">
            <w:pPr>
              <w:pStyle w:val="NormalWeb"/>
            </w:pPr>
            <w:r>
              <w:rPr>
                <w:rFonts w:ascii="Verdana" w:hAnsi="Verdana"/>
                <w:b/>
                <w:bCs/>
              </w:rPr>
              <w:t>Exchange rates regimes; Debts and deficits</w:t>
            </w:r>
          </w:p>
          <w:p w14:paraId="442692BF" w14:textId="77777777" w:rsidR="002541CD" w:rsidRDefault="002541CD" w:rsidP="002541CD">
            <w:pPr>
              <w:numPr>
                <w:ilvl w:val="0"/>
                <w:numId w:val="22"/>
              </w:numPr>
              <w:spacing w:before="100" w:beforeAutospacing="1" w:after="100" w:afterAutospacing="1"/>
              <w:rPr>
                <w:rFonts w:ascii="Verdana" w:eastAsia="Times New Roman" w:hAnsi="Verdana"/>
                <w:sz w:val="20"/>
                <w:szCs w:val="20"/>
              </w:rPr>
            </w:pPr>
            <w:r>
              <w:rPr>
                <w:rFonts w:ascii="Verdana" w:eastAsia="Times New Roman" w:hAnsi="Verdana"/>
                <w:sz w:val="20"/>
                <w:szCs w:val="20"/>
              </w:rPr>
              <w:t>Exchange rates and</w:t>
            </w:r>
            <w:r>
              <w:rPr>
                <w:rFonts w:ascii="Verdana" w:eastAsia="Times New Roman" w:hAnsi="Verdana"/>
                <w:sz w:val="20"/>
                <w:szCs w:val="20"/>
              </w:rPr>
              <w:br/>
              <w:t>Open Economy AD/AS</w:t>
            </w:r>
          </w:p>
          <w:p w14:paraId="16D885ED" w14:textId="77777777" w:rsidR="002541CD" w:rsidRDefault="002541CD" w:rsidP="002541CD">
            <w:pPr>
              <w:numPr>
                <w:ilvl w:val="0"/>
                <w:numId w:val="22"/>
              </w:numPr>
              <w:spacing w:before="100" w:beforeAutospacing="1" w:after="100" w:afterAutospacing="1"/>
              <w:rPr>
                <w:rFonts w:ascii="Verdana" w:eastAsia="Times New Roman" w:hAnsi="Verdana"/>
                <w:sz w:val="20"/>
                <w:szCs w:val="20"/>
              </w:rPr>
            </w:pPr>
            <w:r>
              <w:rPr>
                <w:rFonts w:ascii="Verdana" w:eastAsia="Times New Roman" w:hAnsi="Verdana"/>
                <w:sz w:val="20"/>
                <w:szCs w:val="20"/>
              </w:rPr>
              <w:t>Fixed vs. flexible exchange-rate regimes</w:t>
            </w:r>
          </w:p>
          <w:p w14:paraId="74895081" w14:textId="77777777" w:rsidR="005B3526" w:rsidRDefault="005B3526" w:rsidP="002541CD">
            <w:pPr>
              <w:pStyle w:val="NormalWeb"/>
              <w:numPr>
                <w:ilvl w:val="0"/>
                <w:numId w:val="22"/>
              </w:numPr>
              <w:rPr>
                <w:rFonts w:ascii="Verdana" w:hAnsi="Verdana"/>
                <w:b/>
                <w:bCs/>
                <w:sz w:val="20"/>
                <w:szCs w:val="20"/>
              </w:rPr>
            </w:pPr>
            <w:r>
              <w:rPr>
                <w:rFonts w:ascii="Verdana" w:eastAsia="Times New Roman" w:hAnsi="Verdana"/>
                <w:b/>
                <w:bCs/>
                <w:sz w:val="20"/>
                <w:szCs w:val="20"/>
              </w:rPr>
              <w:t>Student presentation 4</w:t>
            </w:r>
            <w:r>
              <w:rPr>
                <w:rFonts w:ascii="Verdana" w:eastAsia="Times New Roman" w:hAnsi="Verdana"/>
                <w:sz w:val="20"/>
                <w:szCs w:val="20"/>
              </w:rPr>
              <w:t>:</w:t>
            </w:r>
            <w:r>
              <w:rPr>
                <w:rFonts w:ascii="Verdana" w:eastAsia="Times New Roman" w:hAnsi="Verdana"/>
                <w:i/>
                <w:iCs/>
                <w:sz w:val="20"/>
                <w:szCs w:val="20"/>
              </w:rPr>
              <w:t xml:space="preserve"> </w:t>
            </w:r>
            <w:r w:rsidRPr="0060655C">
              <w:rPr>
                <w:rFonts w:ascii="Verdana" w:eastAsia="Times New Roman" w:hAnsi="Verdana"/>
                <w:i/>
                <w:iCs/>
                <w:sz w:val="20"/>
                <w:szCs w:val="20"/>
              </w:rPr>
              <w:t>Should the Federal Reserve change its Statement on Longer-Run Goals and Monetary Policy Strategy?</w:t>
            </w:r>
          </w:p>
        </w:tc>
        <w:tc>
          <w:tcPr>
            <w:tcW w:w="1616" w:type="dxa"/>
            <w:tcBorders>
              <w:top w:val="outset" w:sz="6" w:space="0" w:color="auto"/>
              <w:left w:val="outset" w:sz="6" w:space="0" w:color="auto"/>
              <w:bottom w:val="outset" w:sz="6" w:space="0" w:color="auto"/>
              <w:right w:val="outset" w:sz="6" w:space="0" w:color="auto"/>
            </w:tcBorders>
            <w:shd w:val="clear" w:color="auto" w:fill="FFFFCC"/>
            <w:hideMark/>
          </w:tcPr>
          <w:p w14:paraId="68CFB52B" w14:textId="59535007" w:rsidR="005B3526" w:rsidRPr="00755194" w:rsidRDefault="005B3526">
            <w:pPr>
              <w:rPr>
                <w:b/>
              </w:rPr>
            </w:pPr>
            <w:r w:rsidRPr="00755194">
              <w:rPr>
                <w:b/>
              </w:rPr>
              <w:t>Student</w:t>
            </w:r>
            <w:r w:rsidRPr="00755194">
              <w:rPr>
                <w:b/>
              </w:rPr>
              <w:br/>
              <w:t>Debate</w:t>
            </w:r>
          </w:p>
          <w:p w14:paraId="0259BE99" w14:textId="77777777" w:rsidR="00F1568F" w:rsidRPr="00755194" w:rsidRDefault="00F1568F"/>
          <w:p w14:paraId="19F3BB09" w14:textId="77777777" w:rsidR="00F1568F" w:rsidRPr="00755194" w:rsidRDefault="00F1568F"/>
          <w:p w14:paraId="52E24AC4" w14:textId="77CF4033" w:rsidR="00F1568F" w:rsidRPr="00755194" w:rsidRDefault="00EC6C6D">
            <w:pPr>
              <w:rPr>
                <w:rFonts w:eastAsia="Times New Roman"/>
              </w:rPr>
            </w:pPr>
            <w:r w:rsidRPr="00755194">
              <w:rPr>
                <w:rFonts w:eastAsia="Times New Roman"/>
              </w:rPr>
              <w:t>Is India’s demonetization reform an economic success?</w:t>
            </w:r>
          </w:p>
        </w:tc>
        <w:tc>
          <w:tcPr>
            <w:tcW w:w="1972" w:type="dxa"/>
            <w:tcBorders>
              <w:top w:val="outset" w:sz="6" w:space="0" w:color="auto"/>
              <w:left w:val="outset" w:sz="6" w:space="0" w:color="auto"/>
              <w:bottom w:val="outset" w:sz="6" w:space="0" w:color="auto"/>
              <w:right w:val="outset" w:sz="6" w:space="0" w:color="auto"/>
            </w:tcBorders>
            <w:shd w:val="clear" w:color="auto" w:fill="FFFFCC"/>
            <w:hideMark/>
          </w:tcPr>
          <w:p w14:paraId="029294E9" w14:textId="77777777" w:rsidR="002541CD" w:rsidRDefault="002541CD" w:rsidP="002541CD">
            <w:pPr>
              <w:jc w:val="center"/>
              <w:rPr>
                <w:rFonts w:ascii="Verdana" w:hAnsi="Verdana"/>
                <w:b/>
                <w:sz w:val="20"/>
                <w:szCs w:val="20"/>
              </w:rPr>
            </w:pPr>
            <w:r>
              <w:rPr>
                <w:rFonts w:ascii="Verdana" w:hAnsi="Verdana"/>
                <w:b/>
                <w:sz w:val="20"/>
                <w:szCs w:val="20"/>
              </w:rPr>
              <w:t>Ch. 17</w:t>
            </w:r>
            <w:r>
              <w:rPr>
                <w:rFonts w:ascii="Verdana" w:hAnsi="Verdana"/>
                <w:b/>
                <w:sz w:val="20"/>
                <w:szCs w:val="20"/>
              </w:rPr>
              <w:br/>
            </w:r>
            <w:r>
              <w:rPr>
                <w:rFonts w:ascii="Verdana" w:hAnsi="Verdana"/>
                <w:sz w:val="16"/>
                <w:szCs w:val="16"/>
              </w:rPr>
              <w:t>(459-463)</w:t>
            </w:r>
          </w:p>
          <w:p w14:paraId="4E5B1C3E" w14:textId="77777777" w:rsidR="005B3526" w:rsidRDefault="005B3526">
            <w:pPr>
              <w:rPr>
                <w:rFonts w:eastAsia="Times New Roman"/>
                <w:sz w:val="20"/>
                <w:szCs w:val="20"/>
              </w:rPr>
            </w:pPr>
          </w:p>
        </w:tc>
        <w:tc>
          <w:tcPr>
            <w:tcW w:w="1896" w:type="dxa"/>
            <w:tcBorders>
              <w:top w:val="outset" w:sz="6" w:space="0" w:color="auto"/>
              <w:left w:val="outset" w:sz="6" w:space="0" w:color="auto"/>
              <w:bottom w:val="outset" w:sz="6" w:space="0" w:color="auto"/>
              <w:right w:val="outset" w:sz="6" w:space="0" w:color="auto"/>
            </w:tcBorders>
            <w:shd w:val="clear" w:color="auto" w:fill="FFFFCC"/>
          </w:tcPr>
          <w:p w14:paraId="1857449A" w14:textId="77777777" w:rsidR="005B3526" w:rsidRDefault="005B3526">
            <w:pPr>
              <w:jc w:val="center"/>
              <w:rPr>
                <w:rFonts w:ascii="Verdana" w:eastAsia="Times New Roman" w:hAnsi="Verdana"/>
                <w:sz w:val="16"/>
                <w:szCs w:val="16"/>
              </w:rPr>
            </w:pPr>
          </w:p>
        </w:tc>
      </w:tr>
      <w:tr w:rsidR="005B3526" w14:paraId="3A2CE151" w14:textId="77777777" w:rsidTr="005B3526">
        <w:trPr>
          <w:trHeight w:val="368"/>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FFFFCC"/>
            <w:hideMark/>
          </w:tcPr>
          <w:p w14:paraId="0DEB5E10" w14:textId="77777777" w:rsidR="005B3526" w:rsidRDefault="005B3526">
            <w:pPr>
              <w:pStyle w:val="NormalWeb"/>
              <w:jc w:val="center"/>
              <w:rPr>
                <w:sz w:val="20"/>
                <w:szCs w:val="20"/>
              </w:rPr>
            </w:pPr>
            <w:r>
              <w:rPr>
                <w:rStyle w:val="Strong"/>
                <w:sz w:val="20"/>
                <w:szCs w:val="20"/>
              </w:rPr>
              <w:t>(10)</w:t>
            </w:r>
          </w:p>
        </w:tc>
        <w:tc>
          <w:tcPr>
            <w:tcW w:w="4285" w:type="dxa"/>
            <w:tcBorders>
              <w:top w:val="outset" w:sz="6" w:space="0" w:color="auto"/>
              <w:left w:val="outset" w:sz="6" w:space="0" w:color="auto"/>
              <w:bottom w:val="outset" w:sz="6" w:space="0" w:color="auto"/>
              <w:right w:val="outset" w:sz="6" w:space="0" w:color="auto"/>
            </w:tcBorders>
            <w:shd w:val="clear" w:color="auto" w:fill="FFFFCC"/>
            <w:hideMark/>
          </w:tcPr>
          <w:p w14:paraId="46766308" w14:textId="7DA1600F" w:rsidR="002541CD" w:rsidRDefault="002541CD" w:rsidP="002541CD">
            <w:pPr>
              <w:spacing w:before="100" w:beforeAutospacing="1" w:after="100" w:afterAutospacing="1"/>
              <w:rPr>
                <w:rFonts w:ascii="Verdana" w:hAnsi="Verdana"/>
                <w:b/>
                <w:bCs/>
                <w:sz w:val="28"/>
                <w:szCs w:val="28"/>
              </w:rPr>
            </w:pPr>
            <w:r>
              <w:rPr>
                <w:rFonts w:ascii="Verdana" w:hAnsi="Verdana"/>
                <w:b/>
                <w:bCs/>
                <w:sz w:val="28"/>
                <w:szCs w:val="28"/>
              </w:rPr>
              <w:t>Currency Board:</w:t>
            </w:r>
          </w:p>
          <w:p w14:paraId="1AC430FC" w14:textId="13C7F154" w:rsidR="002541CD" w:rsidRPr="002541CD" w:rsidRDefault="002541CD" w:rsidP="002541CD">
            <w:pPr>
              <w:numPr>
                <w:ilvl w:val="0"/>
                <w:numId w:val="22"/>
              </w:numPr>
              <w:spacing w:before="100" w:beforeAutospacing="1" w:after="100" w:afterAutospacing="1"/>
              <w:rPr>
                <w:rFonts w:ascii="Verdana" w:eastAsia="Times New Roman" w:hAnsi="Verdana"/>
                <w:sz w:val="20"/>
                <w:szCs w:val="20"/>
              </w:rPr>
            </w:pPr>
            <w:r>
              <w:rPr>
                <w:rFonts w:ascii="Verdana" w:eastAsia="Times New Roman" w:hAnsi="Verdana"/>
                <w:sz w:val="20"/>
                <w:szCs w:val="20"/>
              </w:rPr>
              <w:t>The fiscal outlook</w:t>
            </w:r>
          </w:p>
          <w:p w14:paraId="55C9821C" w14:textId="63BE40D3" w:rsidR="005B3526" w:rsidRPr="0060655C" w:rsidRDefault="005B3526" w:rsidP="00EC6C6D">
            <w:pPr>
              <w:spacing w:before="100" w:beforeAutospacing="1" w:after="100" w:afterAutospacing="1"/>
              <w:ind w:left="360"/>
              <w:rPr>
                <w:rFonts w:ascii="Verdana" w:hAnsi="Verdana"/>
                <w:i/>
                <w:iCs/>
                <w:sz w:val="20"/>
                <w:szCs w:val="20"/>
              </w:rPr>
            </w:pPr>
          </w:p>
        </w:tc>
        <w:tc>
          <w:tcPr>
            <w:tcW w:w="1616" w:type="dxa"/>
            <w:tcBorders>
              <w:top w:val="outset" w:sz="6" w:space="0" w:color="auto"/>
              <w:left w:val="outset" w:sz="6" w:space="0" w:color="auto"/>
              <w:bottom w:val="outset" w:sz="6" w:space="0" w:color="auto"/>
              <w:right w:val="outset" w:sz="6" w:space="0" w:color="auto"/>
            </w:tcBorders>
            <w:shd w:val="clear" w:color="auto" w:fill="FFFFCC"/>
            <w:hideMark/>
          </w:tcPr>
          <w:p w14:paraId="08E7F470" w14:textId="25DE13E0" w:rsidR="00EC6C6D" w:rsidRPr="00755194" w:rsidRDefault="005B3526" w:rsidP="00EC6C6D">
            <w:pPr>
              <w:pStyle w:val="NormalWeb"/>
              <w:rPr>
                <w:b/>
              </w:rPr>
            </w:pPr>
            <w:r w:rsidRPr="00755194">
              <w:rPr>
                <w:b/>
              </w:rPr>
              <w:t xml:space="preserve">PS #2 </w:t>
            </w:r>
          </w:p>
          <w:p w14:paraId="17DB5FE2" w14:textId="2B44C936" w:rsidR="00F1568F" w:rsidRPr="00755194" w:rsidRDefault="00EC6C6D" w:rsidP="00EC6C6D">
            <w:pPr>
              <w:pStyle w:val="NormalWeb"/>
              <w:rPr>
                <w:b/>
              </w:rPr>
            </w:pPr>
            <w:r w:rsidRPr="00755194">
              <w:t>Will the Euro appreciate against the dollar in the next 12 months?</w:t>
            </w:r>
          </w:p>
        </w:tc>
        <w:tc>
          <w:tcPr>
            <w:tcW w:w="1972" w:type="dxa"/>
            <w:tcBorders>
              <w:top w:val="outset" w:sz="6" w:space="0" w:color="auto"/>
              <w:left w:val="outset" w:sz="6" w:space="0" w:color="auto"/>
              <w:bottom w:val="outset" w:sz="6" w:space="0" w:color="auto"/>
              <w:right w:val="outset" w:sz="6" w:space="0" w:color="auto"/>
            </w:tcBorders>
            <w:shd w:val="clear" w:color="auto" w:fill="FFFFCC"/>
          </w:tcPr>
          <w:p w14:paraId="55FA2044" w14:textId="0AAD9D9B" w:rsidR="005B3526" w:rsidRDefault="005B3526">
            <w:pPr>
              <w:jc w:val="center"/>
              <w:rPr>
                <w:rFonts w:ascii="Verdana" w:hAnsi="Verdana"/>
                <w:b/>
                <w:sz w:val="20"/>
                <w:szCs w:val="20"/>
              </w:rPr>
            </w:pPr>
            <w:r>
              <w:rPr>
                <w:rFonts w:ascii="Verdana" w:hAnsi="Verdana"/>
                <w:b/>
                <w:sz w:val="20"/>
                <w:szCs w:val="20"/>
              </w:rPr>
              <w:t>Ch. 17</w:t>
            </w:r>
            <w:r>
              <w:rPr>
                <w:rFonts w:ascii="Verdana" w:hAnsi="Verdana"/>
                <w:b/>
                <w:sz w:val="20"/>
                <w:szCs w:val="20"/>
              </w:rPr>
              <w:br/>
            </w:r>
            <w:r w:rsidR="002541CD">
              <w:rPr>
                <w:rFonts w:ascii="Verdana" w:hAnsi="Verdana"/>
                <w:sz w:val="16"/>
                <w:szCs w:val="16"/>
              </w:rPr>
              <w:t>rest of the chapter</w:t>
            </w:r>
          </w:p>
          <w:p w14:paraId="77B4AF42" w14:textId="77777777" w:rsidR="005B3526" w:rsidRDefault="005B3526">
            <w:pPr>
              <w:jc w:val="center"/>
              <w:rPr>
                <w:rFonts w:ascii="Verdana" w:hAnsi="Verdana"/>
                <w:b/>
                <w:sz w:val="20"/>
                <w:szCs w:val="20"/>
              </w:rPr>
            </w:pPr>
          </w:p>
          <w:p w14:paraId="69B48005" w14:textId="26CEF796" w:rsidR="005B3526" w:rsidRDefault="005B3526">
            <w:pPr>
              <w:jc w:val="center"/>
              <w:rPr>
                <w:rFonts w:ascii="Verdana" w:hAnsi="Verdana"/>
                <w:sz w:val="16"/>
                <w:szCs w:val="16"/>
              </w:rPr>
            </w:pPr>
          </w:p>
        </w:tc>
        <w:tc>
          <w:tcPr>
            <w:tcW w:w="1896" w:type="dxa"/>
            <w:tcBorders>
              <w:top w:val="outset" w:sz="6" w:space="0" w:color="auto"/>
              <w:left w:val="outset" w:sz="6" w:space="0" w:color="auto"/>
              <w:bottom w:val="outset" w:sz="6" w:space="0" w:color="auto"/>
              <w:right w:val="outset" w:sz="6" w:space="0" w:color="auto"/>
            </w:tcBorders>
            <w:shd w:val="clear" w:color="auto" w:fill="FFFFCC"/>
            <w:hideMark/>
          </w:tcPr>
          <w:p w14:paraId="4CA02232" w14:textId="77777777" w:rsidR="005B3526" w:rsidRDefault="005B3526">
            <w:pPr>
              <w:pStyle w:val="NormalWeb"/>
              <w:jc w:val="center"/>
              <w:rPr>
                <w:rFonts w:ascii="Verdana" w:hAnsi="Verdana"/>
                <w:sz w:val="16"/>
                <w:szCs w:val="16"/>
              </w:rPr>
            </w:pPr>
            <w:r>
              <w:rPr>
                <w:rFonts w:ascii="Verdana" w:hAnsi="Verdana"/>
                <w:b/>
                <w:sz w:val="20"/>
                <w:szCs w:val="20"/>
              </w:rPr>
              <w:t>Ch. 17</w:t>
            </w:r>
            <w:r>
              <w:rPr>
                <w:rFonts w:ascii="Verdana" w:hAnsi="Verdana"/>
                <w:b/>
                <w:sz w:val="20"/>
                <w:szCs w:val="20"/>
              </w:rPr>
              <w:br/>
            </w:r>
            <w:r>
              <w:rPr>
                <w:rFonts w:ascii="Verdana" w:hAnsi="Verdana"/>
                <w:sz w:val="16"/>
                <w:szCs w:val="16"/>
              </w:rPr>
              <w:t>(404-407)</w:t>
            </w:r>
            <w:r>
              <w:rPr>
                <w:rFonts w:ascii="Verdana" w:hAnsi="Verdana"/>
                <w:b/>
                <w:sz w:val="16"/>
                <w:szCs w:val="16"/>
              </w:rPr>
              <w:br/>
            </w:r>
            <w:r>
              <w:rPr>
                <w:rFonts w:ascii="Verdana" w:hAnsi="Verdana"/>
                <w:sz w:val="16"/>
                <w:szCs w:val="16"/>
              </w:rPr>
              <w:t>Rest of Ch. 17 is optional</w:t>
            </w:r>
          </w:p>
          <w:p w14:paraId="364CC4F6" w14:textId="77777777" w:rsidR="005B3526" w:rsidRDefault="005B3526">
            <w:pPr>
              <w:pStyle w:val="NormalWeb"/>
              <w:jc w:val="center"/>
              <w:rPr>
                <w:rFonts w:ascii="Verdana" w:hAnsi="Verdana"/>
                <w:b/>
                <w:sz w:val="20"/>
                <w:szCs w:val="20"/>
              </w:rPr>
            </w:pPr>
            <w:r>
              <w:rPr>
                <w:rFonts w:ascii="Verdana" w:hAnsi="Verdana"/>
                <w:b/>
                <w:sz w:val="20"/>
                <w:szCs w:val="20"/>
              </w:rPr>
              <w:t>Ch. 18</w:t>
            </w:r>
            <w:r>
              <w:rPr>
                <w:rFonts w:ascii="Verdana" w:hAnsi="Verdana"/>
                <w:b/>
                <w:sz w:val="20"/>
                <w:szCs w:val="20"/>
              </w:rPr>
              <w:br/>
              <w:t>Optional</w:t>
            </w:r>
            <w:r>
              <w:rPr>
                <w:rFonts w:ascii="Verdana" w:hAnsi="Verdana"/>
                <w:b/>
                <w:sz w:val="20"/>
                <w:szCs w:val="20"/>
              </w:rPr>
              <w:br/>
            </w:r>
            <w:r>
              <w:rPr>
                <w:rFonts w:ascii="Verdana" w:hAnsi="Verdana"/>
                <w:sz w:val="16"/>
                <w:szCs w:val="16"/>
              </w:rPr>
              <w:t>(432-447)</w:t>
            </w:r>
          </w:p>
        </w:tc>
      </w:tr>
      <w:tr w:rsidR="005B3526" w14:paraId="5F9FA9E7" w14:textId="77777777" w:rsidTr="005B3526">
        <w:trPr>
          <w:trHeight w:val="194"/>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FFFFCC"/>
            <w:hideMark/>
          </w:tcPr>
          <w:p w14:paraId="66CCB2FF" w14:textId="77777777" w:rsidR="005B3526" w:rsidRDefault="005B3526">
            <w:pPr>
              <w:pStyle w:val="NormalWeb"/>
              <w:jc w:val="center"/>
              <w:rPr>
                <w:sz w:val="20"/>
                <w:szCs w:val="20"/>
              </w:rPr>
            </w:pPr>
            <w:r>
              <w:rPr>
                <w:rStyle w:val="Strong"/>
                <w:sz w:val="20"/>
                <w:szCs w:val="20"/>
              </w:rPr>
              <w:t>(11)</w:t>
            </w:r>
          </w:p>
        </w:tc>
        <w:tc>
          <w:tcPr>
            <w:tcW w:w="4285" w:type="dxa"/>
            <w:tcBorders>
              <w:top w:val="outset" w:sz="6" w:space="0" w:color="auto"/>
              <w:left w:val="outset" w:sz="6" w:space="0" w:color="auto"/>
              <w:bottom w:val="outset" w:sz="6" w:space="0" w:color="auto"/>
              <w:right w:val="outset" w:sz="6" w:space="0" w:color="auto"/>
            </w:tcBorders>
            <w:shd w:val="clear" w:color="auto" w:fill="FFFFCC"/>
            <w:hideMark/>
          </w:tcPr>
          <w:p w14:paraId="3624E0DF" w14:textId="39D4E4A6" w:rsidR="005B3526" w:rsidRPr="00EC6C6D" w:rsidRDefault="00755194" w:rsidP="00755194">
            <w:pPr>
              <w:spacing w:before="100" w:beforeAutospacing="1" w:after="100" w:afterAutospacing="1"/>
              <w:ind w:left="447"/>
              <w:rPr>
                <w:rFonts w:ascii="Verdana" w:eastAsia="Times New Roman" w:hAnsi="Verdana"/>
                <w:b/>
                <w:bCs/>
                <w:sz w:val="20"/>
                <w:szCs w:val="20"/>
              </w:rPr>
            </w:pPr>
            <w:r>
              <w:rPr>
                <w:rFonts w:ascii="Verdana" w:eastAsia="Times New Roman" w:hAnsi="Verdana"/>
                <w:b/>
                <w:bCs/>
                <w:sz w:val="20"/>
                <w:szCs w:val="20"/>
              </w:rPr>
              <w:t>The Science and Art of Macroeconomic Policy Making: Taking Stock</w:t>
            </w:r>
          </w:p>
        </w:tc>
        <w:tc>
          <w:tcPr>
            <w:tcW w:w="1616" w:type="dxa"/>
            <w:tcBorders>
              <w:top w:val="outset" w:sz="6" w:space="0" w:color="auto"/>
              <w:left w:val="outset" w:sz="6" w:space="0" w:color="auto"/>
              <w:bottom w:val="outset" w:sz="6" w:space="0" w:color="auto"/>
              <w:right w:val="outset" w:sz="6" w:space="0" w:color="auto"/>
            </w:tcBorders>
            <w:shd w:val="clear" w:color="auto" w:fill="FFFFCC"/>
            <w:hideMark/>
          </w:tcPr>
          <w:p w14:paraId="3FD39B43" w14:textId="738E28A4" w:rsidR="005B3526" w:rsidRPr="00755194" w:rsidRDefault="00EC6C6D" w:rsidP="00EC6C6D">
            <w:pPr>
              <w:spacing w:before="100" w:beforeAutospacing="1" w:after="100" w:afterAutospacing="1"/>
            </w:pPr>
            <w:r w:rsidRPr="00755194">
              <w:t>Should HK give up its dollar</w:t>
            </w:r>
            <w:r w:rsidR="00755194" w:rsidRPr="00755194">
              <w:t>-linked exchange rate system</w:t>
            </w:r>
            <w:r w:rsidRPr="00755194">
              <w:t>?</w:t>
            </w:r>
          </w:p>
        </w:tc>
        <w:tc>
          <w:tcPr>
            <w:tcW w:w="1972" w:type="dxa"/>
            <w:tcBorders>
              <w:top w:val="outset" w:sz="6" w:space="0" w:color="auto"/>
              <w:left w:val="outset" w:sz="6" w:space="0" w:color="auto"/>
              <w:bottom w:val="outset" w:sz="6" w:space="0" w:color="auto"/>
              <w:right w:val="outset" w:sz="6" w:space="0" w:color="auto"/>
            </w:tcBorders>
            <w:shd w:val="clear" w:color="auto" w:fill="FFFFCC"/>
            <w:hideMark/>
          </w:tcPr>
          <w:p w14:paraId="33F8216C" w14:textId="77777777" w:rsidR="005B3526" w:rsidRDefault="005B3526">
            <w:pPr>
              <w:rPr>
                <w:rFonts w:eastAsia="Times New Roman"/>
                <w:sz w:val="20"/>
                <w:szCs w:val="20"/>
              </w:rPr>
            </w:pPr>
          </w:p>
        </w:tc>
        <w:tc>
          <w:tcPr>
            <w:tcW w:w="1896" w:type="dxa"/>
            <w:tcBorders>
              <w:top w:val="outset" w:sz="6" w:space="0" w:color="auto"/>
              <w:left w:val="outset" w:sz="6" w:space="0" w:color="auto"/>
              <w:bottom w:val="outset" w:sz="6" w:space="0" w:color="auto"/>
              <w:right w:val="outset" w:sz="6" w:space="0" w:color="auto"/>
            </w:tcBorders>
            <w:shd w:val="clear" w:color="auto" w:fill="FFFFCC"/>
          </w:tcPr>
          <w:p w14:paraId="5126FC08" w14:textId="77777777" w:rsidR="005B3526" w:rsidRDefault="005B3526">
            <w:pPr>
              <w:pStyle w:val="NormalWeb"/>
              <w:jc w:val="center"/>
              <w:rPr>
                <w:rFonts w:ascii="Verdana" w:hAnsi="Verdana"/>
                <w:sz w:val="16"/>
                <w:szCs w:val="16"/>
              </w:rPr>
            </w:pPr>
          </w:p>
        </w:tc>
      </w:tr>
      <w:tr w:rsidR="005B3526" w14:paraId="574F0644" w14:textId="77777777" w:rsidTr="005B3526">
        <w:trPr>
          <w:trHeight w:val="74"/>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FFFFCC"/>
            <w:hideMark/>
          </w:tcPr>
          <w:p w14:paraId="0B45EB72" w14:textId="77777777" w:rsidR="005B3526" w:rsidRDefault="005B3526">
            <w:pPr>
              <w:pStyle w:val="NormalWeb"/>
              <w:jc w:val="center"/>
              <w:rPr>
                <w:sz w:val="20"/>
                <w:szCs w:val="20"/>
              </w:rPr>
            </w:pPr>
            <w:r>
              <w:rPr>
                <w:rStyle w:val="Strong"/>
                <w:sz w:val="20"/>
                <w:szCs w:val="20"/>
              </w:rPr>
              <w:t>(12)</w:t>
            </w:r>
          </w:p>
        </w:tc>
        <w:tc>
          <w:tcPr>
            <w:tcW w:w="4285" w:type="dxa"/>
            <w:tcBorders>
              <w:top w:val="outset" w:sz="6" w:space="0" w:color="auto"/>
              <w:left w:val="outset" w:sz="6" w:space="0" w:color="auto"/>
              <w:bottom w:val="outset" w:sz="6" w:space="0" w:color="auto"/>
              <w:right w:val="outset" w:sz="6" w:space="0" w:color="auto"/>
            </w:tcBorders>
            <w:shd w:val="clear" w:color="auto" w:fill="FFFFCC"/>
            <w:hideMark/>
          </w:tcPr>
          <w:p w14:paraId="146636CE" w14:textId="01C0E3FA" w:rsidR="005B3526" w:rsidRDefault="001D694A">
            <w:pPr>
              <w:pStyle w:val="NormalWeb"/>
            </w:pPr>
            <w:r>
              <w:rPr>
                <w:rStyle w:val="Strong"/>
              </w:rPr>
              <w:t xml:space="preserve">FINAL EXAM </w:t>
            </w:r>
            <w:r>
              <w:rPr>
                <w:rFonts w:ascii="Verdana" w:hAnsi="Verdana"/>
                <w:b/>
                <w:sz w:val="20"/>
                <w:szCs w:val="20"/>
              </w:rPr>
              <w:t>(in-class exam)</w:t>
            </w:r>
          </w:p>
        </w:tc>
        <w:tc>
          <w:tcPr>
            <w:tcW w:w="1616" w:type="dxa"/>
            <w:tcBorders>
              <w:top w:val="outset" w:sz="6" w:space="0" w:color="auto"/>
              <w:left w:val="outset" w:sz="6" w:space="0" w:color="auto"/>
              <w:bottom w:val="outset" w:sz="6" w:space="0" w:color="auto"/>
              <w:right w:val="outset" w:sz="6" w:space="0" w:color="auto"/>
            </w:tcBorders>
            <w:shd w:val="clear" w:color="auto" w:fill="FFFFCC"/>
            <w:hideMark/>
          </w:tcPr>
          <w:p w14:paraId="30512DC4" w14:textId="77777777" w:rsidR="005B3526" w:rsidRDefault="005B3526">
            <w:pPr>
              <w:rPr>
                <w:rFonts w:ascii="Verdana" w:eastAsia="Times New Roman" w:hAnsi="Verdana"/>
              </w:rPr>
            </w:pPr>
            <w:r>
              <w:rPr>
                <w:rFonts w:ascii="Verdana" w:eastAsia="Times New Roman" w:hAnsi="Verdana"/>
              </w:rPr>
              <w:t> </w:t>
            </w:r>
          </w:p>
        </w:tc>
        <w:tc>
          <w:tcPr>
            <w:tcW w:w="1972" w:type="dxa"/>
            <w:tcBorders>
              <w:top w:val="outset" w:sz="6" w:space="0" w:color="auto"/>
              <w:left w:val="outset" w:sz="6" w:space="0" w:color="auto"/>
              <w:bottom w:val="outset" w:sz="6" w:space="0" w:color="auto"/>
              <w:right w:val="outset" w:sz="6" w:space="0" w:color="auto"/>
            </w:tcBorders>
            <w:shd w:val="clear" w:color="auto" w:fill="FFFFCC"/>
            <w:hideMark/>
          </w:tcPr>
          <w:p w14:paraId="35558322" w14:textId="77777777" w:rsidR="005B3526" w:rsidRDefault="005B3526">
            <w:pPr>
              <w:rPr>
                <w:rFonts w:eastAsia="Times New Roman"/>
                <w:sz w:val="20"/>
                <w:szCs w:val="20"/>
              </w:rPr>
            </w:pPr>
          </w:p>
        </w:tc>
        <w:tc>
          <w:tcPr>
            <w:tcW w:w="1896" w:type="dxa"/>
            <w:tcBorders>
              <w:top w:val="outset" w:sz="6" w:space="0" w:color="auto"/>
              <w:left w:val="outset" w:sz="6" w:space="0" w:color="auto"/>
              <w:bottom w:val="outset" w:sz="6" w:space="0" w:color="auto"/>
              <w:right w:val="outset" w:sz="6" w:space="0" w:color="auto"/>
            </w:tcBorders>
            <w:shd w:val="clear" w:color="auto" w:fill="FFFFCC"/>
          </w:tcPr>
          <w:p w14:paraId="2C947B68" w14:textId="77777777" w:rsidR="005B3526" w:rsidRDefault="005B3526">
            <w:pPr>
              <w:jc w:val="center"/>
              <w:rPr>
                <w:rFonts w:ascii="Verdana" w:eastAsia="Times New Roman" w:hAnsi="Verdana"/>
                <w:sz w:val="16"/>
                <w:szCs w:val="16"/>
              </w:rPr>
            </w:pPr>
          </w:p>
        </w:tc>
      </w:tr>
      <w:tr w:rsidR="005B3526" w14:paraId="4357BCE8" w14:textId="77777777" w:rsidTr="005B3526">
        <w:trPr>
          <w:trHeight w:val="74"/>
          <w:tblCellSpacing w:w="7" w:type="dxa"/>
          <w:jc w:val="center"/>
        </w:trPr>
        <w:tc>
          <w:tcPr>
            <w:tcW w:w="931" w:type="dxa"/>
            <w:tcBorders>
              <w:top w:val="outset" w:sz="6" w:space="0" w:color="auto"/>
              <w:left w:val="outset" w:sz="6" w:space="0" w:color="auto"/>
              <w:bottom w:val="outset" w:sz="6" w:space="0" w:color="auto"/>
              <w:right w:val="outset" w:sz="6" w:space="0" w:color="auto"/>
            </w:tcBorders>
            <w:shd w:val="clear" w:color="auto" w:fill="0099CC"/>
            <w:hideMark/>
          </w:tcPr>
          <w:p w14:paraId="697A3970" w14:textId="77777777" w:rsidR="005B3526" w:rsidRDefault="005B3526">
            <w:pPr>
              <w:rPr>
                <w:rFonts w:ascii="Verdana" w:eastAsia="Times New Roman" w:hAnsi="Verdana"/>
                <w:sz w:val="20"/>
                <w:szCs w:val="20"/>
              </w:rPr>
            </w:pPr>
            <w:r>
              <w:rPr>
                <w:rFonts w:ascii="Verdana" w:eastAsia="Times New Roman" w:hAnsi="Verdana"/>
                <w:sz w:val="20"/>
                <w:szCs w:val="20"/>
              </w:rPr>
              <w:t> </w:t>
            </w:r>
            <w:r>
              <w:rPr>
                <w:rFonts w:ascii="Verdana" w:eastAsia="Times New Roman" w:hAnsi="Verdana"/>
                <w:sz w:val="20"/>
                <w:szCs w:val="20"/>
              </w:rPr>
              <w:br/>
            </w:r>
          </w:p>
        </w:tc>
        <w:tc>
          <w:tcPr>
            <w:tcW w:w="4285" w:type="dxa"/>
            <w:tcBorders>
              <w:top w:val="outset" w:sz="6" w:space="0" w:color="auto"/>
              <w:left w:val="outset" w:sz="6" w:space="0" w:color="auto"/>
              <w:bottom w:val="outset" w:sz="6" w:space="0" w:color="auto"/>
              <w:right w:val="outset" w:sz="6" w:space="0" w:color="auto"/>
            </w:tcBorders>
            <w:shd w:val="clear" w:color="auto" w:fill="0099CC"/>
            <w:hideMark/>
          </w:tcPr>
          <w:p w14:paraId="10FA7221" w14:textId="0CF6D248" w:rsidR="005B3526" w:rsidRDefault="005B3526" w:rsidP="00D5343E">
            <w:pPr>
              <w:pStyle w:val="NormalWeb"/>
            </w:pPr>
          </w:p>
        </w:tc>
        <w:tc>
          <w:tcPr>
            <w:tcW w:w="1616" w:type="dxa"/>
            <w:tcBorders>
              <w:top w:val="outset" w:sz="6" w:space="0" w:color="auto"/>
              <w:left w:val="outset" w:sz="6" w:space="0" w:color="auto"/>
              <w:bottom w:val="outset" w:sz="6" w:space="0" w:color="auto"/>
              <w:right w:val="outset" w:sz="6" w:space="0" w:color="auto"/>
            </w:tcBorders>
            <w:shd w:val="clear" w:color="auto" w:fill="0099CC"/>
            <w:hideMark/>
          </w:tcPr>
          <w:p w14:paraId="72F919CD" w14:textId="77777777" w:rsidR="005B3526" w:rsidRDefault="005B3526">
            <w:pPr>
              <w:rPr>
                <w:rFonts w:ascii="Verdana" w:eastAsia="Times New Roman" w:hAnsi="Verdana"/>
              </w:rPr>
            </w:pPr>
            <w:r>
              <w:rPr>
                <w:rFonts w:ascii="Verdana" w:eastAsia="Times New Roman" w:hAnsi="Verdana"/>
              </w:rPr>
              <w:t> </w:t>
            </w:r>
          </w:p>
        </w:tc>
        <w:tc>
          <w:tcPr>
            <w:tcW w:w="1972" w:type="dxa"/>
            <w:tcBorders>
              <w:top w:val="outset" w:sz="6" w:space="0" w:color="auto"/>
              <w:left w:val="outset" w:sz="6" w:space="0" w:color="auto"/>
              <w:bottom w:val="outset" w:sz="6" w:space="0" w:color="auto"/>
              <w:right w:val="outset" w:sz="6" w:space="0" w:color="auto"/>
            </w:tcBorders>
            <w:shd w:val="clear" w:color="auto" w:fill="0099CC"/>
            <w:hideMark/>
          </w:tcPr>
          <w:p w14:paraId="595FC80E" w14:textId="77777777" w:rsidR="005B3526" w:rsidRDefault="005B3526">
            <w:pPr>
              <w:rPr>
                <w:rFonts w:eastAsia="Times New Roman"/>
                <w:sz w:val="20"/>
                <w:szCs w:val="20"/>
              </w:rPr>
            </w:pPr>
          </w:p>
        </w:tc>
        <w:tc>
          <w:tcPr>
            <w:tcW w:w="1896" w:type="dxa"/>
            <w:tcBorders>
              <w:top w:val="outset" w:sz="6" w:space="0" w:color="auto"/>
              <w:left w:val="outset" w:sz="6" w:space="0" w:color="auto"/>
              <w:bottom w:val="outset" w:sz="6" w:space="0" w:color="auto"/>
              <w:right w:val="outset" w:sz="6" w:space="0" w:color="auto"/>
            </w:tcBorders>
            <w:shd w:val="clear" w:color="auto" w:fill="0099CC"/>
          </w:tcPr>
          <w:p w14:paraId="4A8AA138" w14:textId="77777777" w:rsidR="005B3526" w:rsidRDefault="005B3526">
            <w:pPr>
              <w:jc w:val="center"/>
              <w:rPr>
                <w:rFonts w:ascii="Verdana" w:eastAsia="Times New Roman" w:hAnsi="Verdana"/>
                <w:sz w:val="16"/>
                <w:szCs w:val="16"/>
              </w:rPr>
            </w:pPr>
          </w:p>
        </w:tc>
      </w:tr>
    </w:tbl>
    <w:p w14:paraId="651762A1" w14:textId="77777777" w:rsidR="009935EB" w:rsidRDefault="009935EB" w:rsidP="00C872F4">
      <w:pPr>
        <w:rPr>
          <w:rFonts w:eastAsia="Times New Roman"/>
        </w:rPr>
      </w:pPr>
    </w:p>
    <w:sectPr w:rsidR="009935EB">
      <w:pgSz w:w="12240" w:h="15840"/>
      <w:pgMar w:top="450" w:right="720" w:bottom="4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4EED" w14:textId="77777777" w:rsidR="006D1FD1" w:rsidRDefault="006D1FD1" w:rsidP="00C872F4">
      <w:r>
        <w:separator/>
      </w:r>
    </w:p>
  </w:endnote>
  <w:endnote w:type="continuationSeparator" w:id="0">
    <w:p w14:paraId="7D3560ED" w14:textId="77777777" w:rsidR="006D1FD1" w:rsidRDefault="006D1FD1" w:rsidP="00C8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23781"/>
      <w:docPartObj>
        <w:docPartGallery w:val="Page Numbers (Bottom of Page)"/>
        <w:docPartUnique/>
      </w:docPartObj>
    </w:sdtPr>
    <w:sdtEndPr>
      <w:rPr>
        <w:noProof/>
      </w:rPr>
    </w:sdtEndPr>
    <w:sdtContent>
      <w:p w14:paraId="195E10B2" w14:textId="1FEE285C" w:rsidR="00C872F4" w:rsidRDefault="00C872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C2D2F" w14:textId="77777777" w:rsidR="00C872F4" w:rsidRDefault="00C87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8AF8B" w14:textId="77777777" w:rsidR="006D1FD1" w:rsidRDefault="006D1FD1" w:rsidP="00C872F4">
      <w:r>
        <w:separator/>
      </w:r>
    </w:p>
  </w:footnote>
  <w:footnote w:type="continuationSeparator" w:id="0">
    <w:p w14:paraId="4B9369C4" w14:textId="77777777" w:rsidR="006D1FD1" w:rsidRDefault="006D1FD1" w:rsidP="00C87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B1CD9"/>
    <w:multiLevelType w:val="hybridMultilevel"/>
    <w:tmpl w:val="BFBC2A92"/>
    <w:lvl w:ilvl="0" w:tplc="776E4698">
      <w:start w:val="1"/>
      <w:numFmt w:val="decimal"/>
      <w:lvlText w:val="%1."/>
      <w:lvlJc w:val="left"/>
      <w:pPr>
        <w:tabs>
          <w:tab w:val="num" w:pos="720"/>
        </w:tabs>
        <w:ind w:left="720" w:hanging="360"/>
      </w:pPr>
    </w:lvl>
    <w:lvl w:ilvl="1" w:tplc="B1823810">
      <w:start w:val="1"/>
      <w:numFmt w:val="decimal"/>
      <w:lvlText w:val="%2."/>
      <w:lvlJc w:val="left"/>
      <w:pPr>
        <w:tabs>
          <w:tab w:val="num" w:pos="1440"/>
        </w:tabs>
        <w:ind w:left="1440" w:hanging="360"/>
      </w:pPr>
    </w:lvl>
    <w:lvl w:ilvl="2" w:tplc="2B5002F8" w:tentative="1">
      <w:start w:val="1"/>
      <w:numFmt w:val="decimal"/>
      <w:lvlText w:val="%3."/>
      <w:lvlJc w:val="left"/>
      <w:pPr>
        <w:tabs>
          <w:tab w:val="num" w:pos="2160"/>
        </w:tabs>
        <w:ind w:left="2160" w:hanging="360"/>
      </w:pPr>
    </w:lvl>
    <w:lvl w:ilvl="3" w:tplc="658ACEC8" w:tentative="1">
      <w:start w:val="1"/>
      <w:numFmt w:val="decimal"/>
      <w:lvlText w:val="%4."/>
      <w:lvlJc w:val="left"/>
      <w:pPr>
        <w:tabs>
          <w:tab w:val="num" w:pos="2880"/>
        </w:tabs>
        <w:ind w:left="2880" w:hanging="360"/>
      </w:pPr>
    </w:lvl>
    <w:lvl w:ilvl="4" w:tplc="56CC535E" w:tentative="1">
      <w:start w:val="1"/>
      <w:numFmt w:val="decimal"/>
      <w:lvlText w:val="%5."/>
      <w:lvlJc w:val="left"/>
      <w:pPr>
        <w:tabs>
          <w:tab w:val="num" w:pos="3600"/>
        </w:tabs>
        <w:ind w:left="3600" w:hanging="360"/>
      </w:pPr>
    </w:lvl>
    <w:lvl w:ilvl="5" w:tplc="9A9A82D6" w:tentative="1">
      <w:start w:val="1"/>
      <w:numFmt w:val="decimal"/>
      <w:lvlText w:val="%6."/>
      <w:lvlJc w:val="left"/>
      <w:pPr>
        <w:tabs>
          <w:tab w:val="num" w:pos="4320"/>
        </w:tabs>
        <w:ind w:left="4320" w:hanging="360"/>
      </w:pPr>
    </w:lvl>
    <w:lvl w:ilvl="6" w:tplc="EFB0F112" w:tentative="1">
      <w:start w:val="1"/>
      <w:numFmt w:val="decimal"/>
      <w:lvlText w:val="%7."/>
      <w:lvlJc w:val="left"/>
      <w:pPr>
        <w:tabs>
          <w:tab w:val="num" w:pos="5040"/>
        </w:tabs>
        <w:ind w:left="5040" w:hanging="360"/>
      </w:pPr>
    </w:lvl>
    <w:lvl w:ilvl="7" w:tplc="C6D8EC86" w:tentative="1">
      <w:start w:val="1"/>
      <w:numFmt w:val="decimal"/>
      <w:lvlText w:val="%8."/>
      <w:lvlJc w:val="left"/>
      <w:pPr>
        <w:tabs>
          <w:tab w:val="num" w:pos="5760"/>
        </w:tabs>
        <w:ind w:left="5760" w:hanging="360"/>
      </w:pPr>
    </w:lvl>
    <w:lvl w:ilvl="8" w:tplc="8BD4AD9E" w:tentative="1">
      <w:start w:val="1"/>
      <w:numFmt w:val="decimal"/>
      <w:lvlText w:val="%9."/>
      <w:lvlJc w:val="left"/>
      <w:pPr>
        <w:tabs>
          <w:tab w:val="num" w:pos="6480"/>
        </w:tabs>
        <w:ind w:left="6480" w:hanging="360"/>
      </w:pPr>
    </w:lvl>
  </w:abstractNum>
  <w:abstractNum w:abstractNumId="1" w15:restartNumberingAfterBreak="0">
    <w:nsid w:val="2BB86478"/>
    <w:multiLevelType w:val="multilevel"/>
    <w:tmpl w:val="5ACEEB9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384C73B1"/>
    <w:multiLevelType w:val="multilevel"/>
    <w:tmpl w:val="576AEC0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451A4C42"/>
    <w:multiLevelType w:val="multilevel"/>
    <w:tmpl w:val="86DC16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4DDC4164"/>
    <w:multiLevelType w:val="multilevel"/>
    <w:tmpl w:val="B14E92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62AD4582"/>
    <w:multiLevelType w:val="hybridMultilevel"/>
    <w:tmpl w:val="AB72D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4626088"/>
    <w:multiLevelType w:val="multilevel"/>
    <w:tmpl w:val="2C9A873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65873FAA"/>
    <w:multiLevelType w:val="multilevel"/>
    <w:tmpl w:val="1A90521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6C9D050A"/>
    <w:multiLevelType w:val="hybridMultilevel"/>
    <w:tmpl w:val="05D4E4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EF87318"/>
    <w:multiLevelType w:val="multilevel"/>
    <w:tmpl w:val="86DC16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700950A0"/>
    <w:multiLevelType w:val="multilevel"/>
    <w:tmpl w:val="86DC16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73C76FF6"/>
    <w:multiLevelType w:val="multilevel"/>
    <w:tmpl w:val="86DC16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74FF2E1D"/>
    <w:multiLevelType w:val="multilevel"/>
    <w:tmpl w:val="B7EC4F9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7A4039C2"/>
    <w:multiLevelType w:val="multilevel"/>
    <w:tmpl w:val="41EA3534"/>
    <w:lvl w:ilvl="0">
      <w:start w:val="1"/>
      <w:numFmt w:val="bullet"/>
      <w:lvlText w:val=""/>
      <w:lvlJc w:val="left"/>
      <w:pPr>
        <w:tabs>
          <w:tab w:val="num" w:pos="417"/>
        </w:tabs>
        <w:ind w:left="417" w:hanging="360"/>
      </w:pPr>
      <w:rPr>
        <w:rFonts w:ascii="Symbol" w:hAnsi="Symbol" w:hint="default"/>
        <w:sz w:val="20"/>
      </w:rPr>
    </w:lvl>
    <w:lvl w:ilvl="1">
      <w:start w:val="1"/>
      <w:numFmt w:val="decimal"/>
      <w:lvlText w:val="%2."/>
      <w:lvlJc w:val="left"/>
      <w:pPr>
        <w:tabs>
          <w:tab w:val="num" w:pos="1137"/>
        </w:tabs>
        <w:ind w:left="1137" w:hanging="360"/>
      </w:pPr>
    </w:lvl>
    <w:lvl w:ilvl="2">
      <w:start w:val="1"/>
      <w:numFmt w:val="decimal"/>
      <w:lvlText w:val="%3."/>
      <w:lvlJc w:val="left"/>
      <w:pPr>
        <w:tabs>
          <w:tab w:val="num" w:pos="1857"/>
        </w:tabs>
        <w:ind w:left="1857" w:hanging="360"/>
      </w:pPr>
    </w:lvl>
    <w:lvl w:ilvl="3">
      <w:start w:val="1"/>
      <w:numFmt w:val="decimal"/>
      <w:lvlText w:val="%4."/>
      <w:lvlJc w:val="left"/>
      <w:pPr>
        <w:tabs>
          <w:tab w:val="num" w:pos="2577"/>
        </w:tabs>
        <w:ind w:left="2577" w:hanging="360"/>
      </w:pPr>
    </w:lvl>
    <w:lvl w:ilvl="4">
      <w:start w:val="1"/>
      <w:numFmt w:val="decimal"/>
      <w:lvlText w:val="%5."/>
      <w:lvlJc w:val="left"/>
      <w:pPr>
        <w:tabs>
          <w:tab w:val="num" w:pos="3297"/>
        </w:tabs>
        <w:ind w:left="3297" w:hanging="360"/>
      </w:pPr>
    </w:lvl>
    <w:lvl w:ilvl="5">
      <w:start w:val="1"/>
      <w:numFmt w:val="decimal"/>
      <w:lvlText w:val="%6."/>
      <w:lvlJc w:val="left"/>
      <w:pPr>
        <w:tabs>
          <w:tab w:val="num" w:pos="4017"/>
        </w:tabs>
        <w:ind w:left="4017" w:hanging="360"/>
      </w:pPr>
    </w:lvl>
    <w:lvl w:ilvl="6">
      <w:start w:val="1"/>
      <w:numFmt w:val="decimal"/>
      <w:lvlText w:val="%7."/>
      <w:lvlJc w:val="left"/>
      <w:pPr>
        <w:tabs>
          <w:tab w:val="num" w:pos="4737"/>
        </w:tabs>
        <w:ind w:left="4737" w:hanging="360"/>
      </w:pPr>
    </w:lvl>
    <w:lvl w:ilvl="7">
      <w:start w:val="1"/>
      <w:numFmt w:val="decimal"/>
      <w:lvlText w:val="%8."/>
      <w:lvlJc w:val="left"/>
      <w:pPr>
        <w:tabs>
          <w:tab w:val="num" w:pos="5457"/>
        </w:tabs>
        <w:ind w:left="5457" w:hanging="360"/>
      </w:pPr>
    </w:lvl>
    <w:lvl w:ilvl="8">
      <w:start w:val="1"/>
      <w:numFmt w:val="decimal"/>
      <w:lvlText w:val="%9."/>
      <w:lvlJc w:val="left"/>
      <w:pPr>
        <w:tabs>
          <w:tab w:val="num" w:pos="6177"/>
        </w:tabs>
        <w:ind w:left="6177" w:hanging="360"/>
      </w:pPr>
    </w:lvl>
  </w:abstractNum>
  <w:abstractNum w:abstractNumId="14" w15:restartNumberingAfterBreak="0">
    <w:nsid w:val="7F943102"/>
    <w:multiLevelType w:val="hybridMultilevel"/>
    <w:tmpl w:val="66A8DB6C"/>
    <w:lvl w:ilvl="0" w:tplc="2E18BCC6">
      <w:start w:val="4"/>
      <w:numFmt w:val="bullet"/>
      <w:lvlText w:val=""/>
      <w:lvlJc w:val="left"/>
      <w:pPr>
        <w:ind w:left="443" w:hanging="360"/>
      </w:pPr>
      <w:rPr>
        <w:rFonts w:ascii="Wingdings" w:eastAsia="Times New Roman" w:hAnsi="Wingdings" w:cs="Times New Roman" w:hint="default"/>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num w:numId="1">
    <w:abstractNumId w:val="5"/>
  </w:num>
  <w:num w:numId="2">
    <w:abstractNumId w:val="5"/>
  </w:num>
  <w:num w:numId="3">
    <w:abstractNumId w:val="8"/>
  </w:num>
  <w:num w:numId="4">
    <w:abstractNumId w:val="8"/>
  </w:num>
  <w:num w:numId="5">
    <w:abstractNumId w:val="1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5C"/>
    <w:rsid w:val="001B0126"/>
    <w:rsid w:val="001D694A"/>
    <w:rsid w:val="002541CD"/>
    <w:rsid w:val="002759F2"/>
    <w:rsid w:val="00346AE0"/>
    <w:rsid w:val="004A3C58"/>
    <w:rsid w:val="00571760"/>
    <w:rsid w:val="005B3526"/>
    <w:rsid w:val="0060655C"/>
    <w:rsid w:val="006C32C4"/>
    <w:rsid w:val="006D1FD1"/>
    <w:rsid w:val="006D220F"/>
    <w:rsid w:val="00701AD2"/>
    <w:rsid w:val="00755194"/>
    <w:rsid w:val="00755199"/>
    <w:rsid w:val="007C706D"/>
    <w:rsid w:val="00886910"/>
    <w:rsid w:val="0088732C"/>
    <w:rsid w:val="00915001"/>
    <w:rsid w:val="009935EB"/>
    <w:rsid w:val="00AB7A7E"/>
    <w:rsid w:val="00B24431"/>
    <w:rsid w:val="00BA64BD"/>
    <w:rsid w:val="00BB2582"/>
    <w:rsid w:val="00C71834"/>
    <w:rsid w:val="00C872F4"/>
    <w:rsid w:val="00CB6799"/>
    <w:rsid w:val="00D5343E"/>
    <w:rsid w:val="00EC6C6D"/>
    <w:rsid w:val="00EE7AA7"/>
    <w:rsid w:val="00F1568F"/>
    <w:rsid w:val="00F61C2D"/>
    <w:rsid w:val="00FE1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A9346"/>
  <w15:chartTrackingRefBased/>
  <w15:docId w15:val="{8DFE178A-C795-4C4D-BFDF-2B461CC2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100" w:beforeAutospacing="1" w:after="100" w:afterAutospacing="1"/>
      <w:outlineLvl w:val="0"/>
    </w:pPr>
    <w:rPr>
      <w:rFonts w:ascii="Arial" w:hAnsi="Arial" w:cs="Arial"/>
      <w:b/>
      <w:bCs/>
      <w:color w:val="000000"/>
      <w:kern w:val="36"/>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keepNext/>
      <w:spacing w:before="100" w:beforeAutospacing="1" w:after="100" w:afterAutospacing="1"/>
      <w:outlineLvl w:val="2"/>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6666FF"/>
      <w:u w:val="single"/>
    </w:rPr>
  </w:style>
  <w:style w:type="character" w:styleId="FollowedHyperlink">
    <w:name w:val="FollowedHyperlink"/>
    <w:basedOn w:val="DefaultParagraphFont"/>
    <w:uiPriority w:val="99"/>
    <w:semiHidden/>
    <w:unhideWhenUsed/>
    <w:rPr>
      <w:color w:val="6600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E74B5"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5B9BD5"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5B9BD5" w:themeColor="accent1"/>
      <w:sz w:val="24"/>
      <w:szCs w:val="24"/>
    </w:rPr>
  </w:style>
  <w:style w:type="character" w:styleId="Strong">
    <w:name w:val="Strong"/>
    <w:basedOn w:val="DefaultParagraphFont"/>
    <w:uiPriority w:val="22"/>
    <w:qFormat/>
    <w:rPr>
      <w:rFonts w:ascii="Verdana" w:hAnsi="Verdana" w:hint="default"/>
      <w:b/>
      <w:bCs/>
    </w:rPr>
  </w:style>
  <w:style w:type="paragraph" w:customStyle="1" w:styleId="msonormal0">
    <w:name w:val="msonormal"/>
    <w:basedOn w:val="Normal"/>
    <w:uiPriority w:val="99"/>
    <w:semiHidden/>
    <w:pPr>
      <w:spacing w:before="100" w:beforeAutospacing="1" w:after="100" w:afterAutospacing="1"/>
    </w:pPr>
    <w:rPr>
      <w:color w:val="000000"/>
    </w:rPr>
  </w:style>
  <w:style w:type="paragraph" w:styleId="NormalWeb">
    <w:name w:val="Normal (Web)"/>
    <w:basedOn w:val="Normal"/>
    <w:uiPriority w:val="99"/>
    <w:unhideWhenUsed/>
    <w:pPr>
      <w:spacing w:before="100" w:beforeAutospacing="1" w:after="100" w:afterAutospacing="1"/>
    </w:pPr>
    <w:rPr>
      <w:color w:val="000000"/>
    </w:rPr>
  </w:style>
  <w:style w:type="paragraph" w:styleId="BalloonText">
    <w:name w:val="Balloon Text"/>
    <w:basedOn w:val="Normal"/>
    <w:link w:val="BalloonTextChar"/>
    <w:uiPriority w:val="99"/>
    <w:semiHidden/>
    <w:unhideWhenUsed/>
    <w:pPr>
      <w:spacing w:before="100" w:beforeAutospacing="1" w:after="100" w:afterAutospacing="1"/>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customStyle="1" w:styleId="msolistparagraph0">
    <w:name w:val="msolistparagraph0"/>
    <w:basedOn w:val="Normal"/>
    <w:uiPriority w:val="99"/>
    <w:semiHidden/>
    <w:pPr>
      <w:spacing w:before="100" w:beforeAutospacing="1" w:after="100" w:afterAutospacing="1"/>
    </w:pPr>
    <w:rPr>
      <w:color w:val="000000"/>
    </w:rPr>
  </w:style>
  <w:style w:type="paragraph" w:customStyle="1" w:styleId="msolistparagraph0cxspfirst">
    <w:name w:val="msolistparagraph0cxspfirst"/>
    <w:basedOn w:val="Normal"/>
    <w:uiPriority w:val="99"/>
    <w:semiHidden/>
    <w:pPr>
      <w:spacing w:before="100" w:beforeAutospacing="1" w:after="100" w:afterAutospacing="1"/>
    </w:pPr>
    <w:rPr>
      <w:color w:val="000000"/>
    </w:rPr>
  </w:style>
  <w:style w:type="paragraph" w:customStyle="1" w:styleId="msolistparagraph0cxspmiddle">
    <w:name w:val="msolistparagraph0cxspmiddle"/>
    <w:basedOn w:val="Normal"/>
    <w:uiPriority w:val="99"/>
    <w:semiHidden/>
    <w:pPr>
      <w:spacing w:before="100" w:beforeAutospacing="1" w:after="100" w:afterAutospacing="1"/>
    </w:pPr>
    <w:rPr>
      <w:color w:val="000000"/>
    </w:rPr>
  </w:style>
  <w:style w:type="paragraph" w:customStyle="1" w:styleId="msolistparagraph0cxsplast">
    <w:name w:val="msolistparagraph0cxsplast"/>
    <w:basedOn w:val="Normal"/>
    <w:uiPriority w:val="99"/>
    <w:semiHidden/>
    <w:pPr>
      <w:spacing w:before="100" w:beforeAutospacing="1" w:after="100" w:afterAutospacing="1"/>
    </w:pPr>
    <w:rPr>
      <w:color w:val="000000"/>
    </w:rPr>
  </w:style>
  <w:style w:type="paragraph" w:customStyle="1" w:styleId="section1">
    <w:name w:val="section1"/>
    <w:basedOn w:val="Normal"/>
    <w:uiPriority w:val="99"/>
    <w:semiHidden/>
    <w:pPr>
      <w:spacing w:before="100" w:beforeAutospacing="1" w:after="100" w:afterAutospacing="1"/>
    </w:pPr>
    <w:rPr>
      <w:color w:val="000000"/>
    </w:rPr>
  </w:style>
  <w:style w:type="paragraph" w:customStyle="1" w:styleId="msochpdefault">
    <w:name w:val="msochpdefault"/>
    <w:basedOn w:val="Normal"/>
    <w:uiPriority w:val="99"/>
    <w:semiHidden/>
    <w:pPr>
      <w:spacing w:before="100" w:beforeAutospacing="1" w:after="100" w:afterAutospacing="1"/>
    </w:pPr>
    <w:rPr>
      <w:color w:val="000000"/>
      <w:sz w:val="20"/>
      <w:szCs w:val="20"/>
    </w:rPr>
  </w:style>
  <w:style w:type="character" w:customStyle="1" w:styleId="heading1char0">
    <w:name w:val="heading1char"/>
    <w:basedOn w:val="DefaultParagraphFont"/>
    <w:rPr>
      <w:rFonts w:ascii="Cambria" w:hAnsi="Cambria" w:hint="default"/>
      <w:b/>
      <w:bCs/>
      <w:color w:val="365F91"/>
    </w:rPr>
  </w:style>
  <w:style w:type="character" w:customStyle="1" w:styleId="heading2char0">
    <w:name w:val="heading2char"/>
    <w:basedOn w:val="DefaultParagraphFont"/>
    <w:rPr>
      <w:rFonts w:ascii="Cambria" w:hAnsi="Cambria" w:hint="default"/>
      <w:b/>
      <w:bCs/>
      <w:color w:val="4F81BD"/>
    </w:rPr>
  </w:style>
  <w:style w:type="character" w:customStyle="1" w:styleId="heading3char0">
    <w:name w:val="heading3char"/>
    <w:basedOn w:val="DefaultParagraphFont"/>
    <w:rPr>
      <w:rFonts w:ascii="Cambria" w:hAnsi="Cambria" w:hint="default"/>
      <w:b/>
      <w:bCs/>
      <w:color w:val="4F81BD"/>
    </w:rPr>
  </w:style>
  <w:style w:type="character" w:customStyle="1" w:styleId="balloontextchar0">
    <w:name w:val="balloontextchar"/>
    <w:basedOn w:val="DefaultParagraphFont"/>
    <w:rPr>
      <w:rFonts w:ascii="Tahoma" w:hAnsi="Tahoma" w:cs="Tahoma" w:hint="default"/>
      <w:color w:val="000000"/>
    </w:rPr>
  </w:style>
  <w:style w:type="character" w:customStyle="1" w:styleId="heading2char00">
    <w:name w:val="heading2char0"/>
    <w:basedOn w:val="DefaultParagraphFont"/>
    <w:rPr>
      <w:rFonts w:ascii="Cambria" w:hAnsi="Cambria" w:hint="default"/>
      <w:b/>
      <w:bCs/>
      <w:color w:val="4F81BD"/>
    </w:rPr>
  </w:style>
  <w:style w:type="character" w:customStyle="1" w:styleId="heading3char00">
    <w:name w:val="heading3char0"/>
    <w:basedOn w:val="DefaultParagraphFont"/>
    <w:rPr>
      <w:rFonts w:ascii="Cambria" w:hAnsi="Cambria" w:hint="default"/>
      <w:b/>
      <w:bCs/>
      <w:color w:val="4F81BD"/>
    </w:rPr>
  </w:style>
  <w:style w:type="character" w:customStyle="1" w:styleId="heading1char00">
    <w:name w:val="heading1char0"/>
    <w:basedOn w:val="DefaultParagraphFont"/>
    <w:rPr>
      <w:rFonts w:ascii="Arial" w:hAnsi="Arial" w:cs="Arial" w:hint="default"/>
      <w:b/>
      <w:bCs/>
      <w:color w:val="000000"/>
    </w:rPr>
  </w:style>
  <w:style w:type="character" w:customStyle="1" w:styleId="balloontextchar00">
    <w:name w:val="balloontextchar0"/>
    <w:basedOn w:val="DefaultParagraphFont"/>
    <w:rPr>
      <w:rFonts w:ascii="Tahoma" w:hAnsi="Tahoma" w:cs="Tahoma" w:hint="default"/>
      <w:color w:val="000000"/>
    </w:rPr>
  </w:style>
  <w:style w:type="character" w:customStyle="1" w:styleId="gi">
    <w:name w:val="gi"/>
    <w:basedOn w:val="DefaultParagraphFont"/>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60655C"/>
    <w:pPr>
      <w:ind w:left="720"/>
      <w:contextualSpacing/>
    </w:pPr>
    <w:rPr>
      <w:rFonts w:eastAsia="Times New Roman"/>
    </w:rPr>
  </w:style>
  <w:style w:type="character" w:styleId="UnresolvedMention">
    <w:name w:val="Unresolved Mention"/>
    <w:basedOn w:val="DefaultParagraphFont"/>
    <w:uiPriority w:val="99"/>
    <w:semiHidden/>
    <w:unhideWhenUsed/>
    <w:rsid w:val="001D694A"/>
    <w:rPr>
      <w:color w:val="605E5C"/>
      <w:shd w:val="clear" w:color="auto" w:fill="E1DFDD"/>
    </w:rPr>
  </w:style>
  <w:style w:type="paragraph" w:styleId="Footer">
    <w:name w:val="footer"/>
    <w:basedOn w:val="Normal"/>
    <w:link w:val="FooterChar"/>
    <w:uiPriority w:val="99"/>
    <w:unhideWhenUsed/>
    <w:rsid w:val="00C872F4"/>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C872F4"/>
    <w:rPr>
      <w:rFonts w:asciiTheme="minorHAnsi" w:eastAsiaTheme="minorEastAsia" w:hAnsiTheme="minorHAnsi"/>
      <w:sz w:val="22"/>
      <w:szCs w:val="22"/>
    </w:rPr>
  </w:style>
  <w:style w:type="paragraph" w:styleId="Header">
    <w:name w:val="header"/>
    <w:basedOn w:val="Normal"/>
    <w:link w:val="HeaderChar"/>
    <w:uiPriority w:val="99"/>
    <w:unhideWhenUsed/>
    <w:rsid w:val="00C872F4"/>
    <w:pPr>
      <w:tabs>
        <w:tab w:val="center" w:pos="4680"/>
        <w:tab w:val="right" w:pos="9360"/>
      </w:tabs>
    </w:pPr>
  </w:style>
  <w:style w:type="character" w:customStyle="1" w:styleId="HeaderChar">
    <w:name w:val="Header Char"/>
    <w:basedOn w:val="DefaultParagraphFont"/>
    <w:link w:val="Header"/>
    <w:uiPriority w:val="99"/>
    <w:rsid w:val="00C872F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93989">
      <w:bodyDiv w:val="1"/>
      <w:marLeft w:val="0"/>
      <w:marRight w:val="0"/>
      <w:marTop w:val="0"/>
      <w:marBottom w:val="0"/>
      <w:divBdr>
        <w:top w:val="none" w:sz="0" w:space="0" w:color="auto"/>
        <w:left w:val="none" w:sz="0" w:space="0" w:color="auto"/>
        <w:bottom w:val="none" w:sz="0" w:space="0" w:color="auto"/>
        <w:right w:val="none" w:sz="0" w:space="0" w:color="auto"/>
      </w:divBdr>
      <w:divsChild>
        <w:div w:id="1111707495">
          <w:marLeft w:val="1181"/>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we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ngjin.wei@columbia.edu" TargetMode="External"/><Relationship Id="rId12" Type="http://schemas.openxmlformats.org/officeDocument/2006/relationships/hyperlink" Target="http://www.ny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sj.com/" TargetMode="External"/><Relationship Id="rId4" Type="http://schemas.openxmlformats.org/officeDocument/2006/relationships/webSettings" Target="webSettings.xml"/><Relationship Id="rId9" Type="http://schemas.openxmlformats.org/officeDocument/2006/relationships/hyperlink" Target="http://www.economi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B5302 GEE II: Syllabus</vt:lpstr>
    </vt:vector>
  </TitlesOfParts>
  <Company>Columbia Business School</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B5302 GEE II: Syllabus</dc:title>
  <dc:subject/>
  <dc:creator>Andreas Mueller</dc:creator>
  <cp:keywords/>
  <dc:description/>
  <cp:lastModifiedBy>Shang-Jin Wei</cp:lastModifiedBy>
  <cp:revision>5</cp:revision>
  <cp:lastPrinted>2021-06-11T22:20:00Z</cp:lastPrinted>
  <dcterms:created xsi:type="dcterms:W3CDTF">2021-06-11T21:36:00Z</dcterms:created>
  <dcterms:modified xsi:type="dcterms:W3CDTF">2021-06-11T22:20:00Z</dcterms:modified>
</cp:coreProperties>
</file>