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FC" w:rsidRDefault="00934BFC" w:rsidP="00934BFC"/>
    <w:p w:rsidR="00934BFC" w:rsidRDefault="00934BFC" w:rsidP="00934BFC">
      <w:pPr>
        <w:sectPr w:rsidR="00934BFC" w:rsidSect="00535F4E">
          <w:headerReference w:type="default" r:id="rId8"/>
          <w:footerReference w:type="default" r:id="rId9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535F4E" w:rsidRDefault="0084061F" w:rsidP="0053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U.S. HEALTHCARE INDUSTRY</w:t>
      </w:r>
    </w:p>
    <w:p w:rsidR="000203CF" w:rsidRDefault="000203CF" w:rsidP="0053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84061F">
        <w:rPr>
          <w:b/>
          <w:sz w:val="28"/>
          <w:szCs w:val="28"/>
        </w:rPr>
        <w:t>8117</w:t>
      </w:r>
    </w:p>
    <w:p w:rsidR="00535F4E" w:rsidRPr="00535F4E" w:rsidRDefault="00875070" w:rsidP="0053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</w:t>
      </w:r>
      <w:r w:rsidR="008B28FE">
        <w:rPr>
          <w:b/>
          <w:sz w:val="28"/>
          <w:szCs w:val="28"/>
        </w:rPr>
        <w:t>4</w:t>
      </w:r>
    </w:p>
    <w:p w:rsidR="00875070" w:rsidRDefault="00875070" w:rsidP="00934BFC">
      <w:r>
        <w:t>LINDA V. GREEN</w:t>
      </w:r>
      <w:bookmarkStart w:id="0" w:name="_GoBack"/>
      <w:bookmarkEnd w:id="0"/>
    </w:p>
    <w:p w:rsidR="00934BFC" w:rsidRDefault="00875070" w:rsidP="00934BFC">
      <w:r>
        <w:t>423 Uris Hall</w:t>
      </w:r>
    </w:p>
    <w:p w:rsidR="00934BFC" w:rsidRDefault="00934BFC" w:rsidP="00934BFC">
      <w:r>
        <w:t>Office Phone:</w:t>
      </w:r>
      <w:r>
        <w:tab/>
      </w:r>
      <w:r w:rsidR="00875070">
        <w:t>212-854-4108</w:t>
      </w:r>
    </w:p>
    <w:p w:rsidR="00934BFC" w:rsidRDefault="00934BFC" w:rsidP="00934BFC">
      <w:r>
        <w:t>E-mail:</w:t>
      </w:r>
      <w:r>
        <w:tab/>
      </w:r>
      <w:r w:rsidR="00875070">
        <w:t>lvg1</w:t>
      </w:r>
      <w:r>
        <w:t>@columbia.edu</w:t>
      </w:r>
    </w:p>
    <w:p w:rsidR="00934BFC" w:rsidRDefault="00934BFC" w:rsidP="00934BFC">
      <w:r>
        <w:t>Office Hours:</w:t>
      </w:r>
      <w:r w:rsidR="00875070">
        <w:t xml:space="preserve">  By appointment</w:t>
      </w:r>
    </w:p>
    <w:p w:rsidR="00E573A8" w:rsidRDefault="00E573A8" w:rsidP="00934BFC"/>
    <w:p w:rsidR="00E573A8" w:rsidRDefault="00E573A8" w:rsidP="00934BFC">
      <w:pPr>
        <w:sectPr w:rsidR="00E573A8" w:rsidSect="00535F4E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934BFC" w:rsidRDefault="00934BFC" w:rsidP="00934BFC">
      <w:r>
        <w:lastRenderedPageBreak/>
        <w:t>TEACHING ASSISTANT</w:t>
      </w:r>
    </w:p>
    <w:p w:rsidR="00934BFC" w:rsidRDefault="00130A15" w:rsidP="00934BF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121919</wp:posOffset>
                </wp:positionV>
                <wp:extent cx="81057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8.75pt,9.6pt" to="55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dDwgEAAN8DAAAOAAAAZHJzL2Uyb0RvYy54bWysU9uO0zAQfUfiHyy/0yQrLbuKmu5DV/Cy&#10;gorCB3idcWPhm8amSf+esdOEq4RAvFix55yZOWcm24fJGnYGjNq7jjebmjNw0vfanTr+6eObV/ec&#10;xSRcL4x30PELRP6we/liO4YWbvzgTQ/IKImL7Rg6PqQU2qqKcgAr4sYHcBRUHq1IdMVT1aMYKbs1&#10;1U1dv65Gj31ALyFGen2cg3xX8isFMr1XKkJipuPUWyonlvM5n9VuK9oTijBoeW1D/EMXVmhHRddU&#10;jyIJ9gX1L6msluijV2kjva28UlpC0UBqmvonNcdBBChayJwYVpvi/0sr350PyHRPs+PMCUsjOiYU&#10;+jQktvfOkYEeWZN9GkNsCb53B8xK5eSO4cnLz5Fi1Q/BfIlhhk0KbYaTVDYV3y+r7zAlJunxvqlv&#10;7+5uOZNLrBLtQgwY01vwluWPjhvtsiWiFeenmHJp0S6Qax9z6dJEuhjIYOM+gCKZVKwp7LJgsDfI&#10;zoJWQ0gJLhWZlK+gM01pY1Zi/WfiFZ+pUJbvb8gro1T2Lq1kq53H31VP09KymvGLA7PubMGz7y8H&#10;XEZEW1Qcu258XtPv74X+7b/cfQUAAP//AwBQSwMEFAAGAAgAAAAhAEFFI43hAAAACwEAAA8AAABk&#10;cnMvZG93bnJldi54bWxMj8FOwzAQRO9I/IO1SFxQ66Qi0IY4FSBVPVCEaPgAN16SiHgdxU6a8vVs&#10;xQGOO/M0O5OtJ9uKEXvfOFIQzyMQSKUzDVUKPorNbAnCB01Gt45QwQk9rPPLi0ynxh3pHcd9qASH&#10;kE+1gjqELpXSlzVa7eeuQ2Lv0/VWBz77SppeHznctnIRRXfS6ob4Q607fK6x/NoPVsF284QvyWmo&#10;bk2yLW7GYvf6/bZU6vpqenwAEXAKfzCc63N1yLnTwQ1kvGgVzOLkPmGWndUCxJmI4xXPO/wqMs/k&#10;/w35DwAAAP//AwBQSwECLQAUAAYACAAAACEAtoM4kv4AAADhAQAAEwAAAAAAAAAAAAAAAAAAAAAA&#10;W0NvbnRlbnRfVHlwZXNdLnhtbFBLAQItABQABgAIAAAAIQA4/SH/1gAAAJQBAAALAAAAAAAAAAAA&#10;AAAAAC8BAABfcmVscy8ucmVsc1BLAQItABQABgAIAAAAIQDn8GdDwgEAAN8DAAAOAAAAAAAAAAAA&#10;AAAAAC4CAABkcnMvZTJvRG9jLnhtbFBLAQItABQABgAIAAAAIQBBRSON4QAAAAsBAAAPAAAAAAAA&#10;AAAAAAAAABw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934BFC" w:rsidRPr="00934BFC" w:rsidRDefault="00934BFC" w:rsidP="00934BFC">
      <w:pPr>
        <w:rPr>
          <w:b/>
        </w:rPr>
      </w:pPr>
      <w:r w:rsidRPr="00934BFC">
        <w:rPr>
          <w:b/>
        </w:rPr>
        <w:t>REQUIRED COURSE MATERIAL</w:t>
      </w:r>
    </w:p>
    <w:p w:rsidR="00934BFC" w:rsidRDefault="00875070" w:rsidP="00934BFC">
      <w:r>
        <w:t>Casebook</w:t>
      </w:r>
    </w:p>
    <w:p w:rsidR="00934BFC" w:rsidRPr="00934BFC" w:rsidRDefault="00934BFC" w:rsidP="00934BFC">
      <w:pPr>
        <w:rPr>
          <w:b/>
        </w:rPr>
      </w:pPr>
      <w:r w:rsidRPr="00934BFC">
        <w:rPr>
          <w:b/>
        </w:rPr>
        <w:t>REQUIRED PREREQUISITES AND CONNECTION TO THE CORE</w:t>
      </w:r>
    </w:p>
    <w:p w:rsidR="00573C56" w:rsidRDefault="00573C56" w:rsidP="00573C56">
      <w:pPr>
        <w:rPr>
          <w:sz w:val="24"/>
          <w:szCs w:val="24"/>
        </w:rPr>
      </w:pPr>
      <w:r w:rsidRPr="008A0FD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learning in </w:t>
      </w:r>
      <w:r w:rsidRPr="008A0FDF">
        <w:rPr>
          <w:sz w:val="24"/>
          <w:szCs w:val="24"/>
        </w:rPr>
        <w:t>this course</w:t>
      </w:r>
      <w:r>
        <w:rPr>
          <w:sz w:val="24"/>
          <w:szCs w:val="24"/>
        </w:rPr>
        <w:t xml:space="preserve"> will utilize, build on and extend concepts covered in the following core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573C56" w:rsidRPr="00654649" w:rsidTr="00A731F3">
        <w:tc>
          <w:tcPr>
            <w:tcW w:w="2898" w:type="dxa"/>
          </w:tcPr>
          <w:p w:rsidR="00573C56" w:rsidRPr="00654649" w:rsidRDefault="00573C56" w:rsidP="00A731F3">
            <w:pPr>
              <w:rPr>
                <w:b/>
              </w:rPr>
            </w:pPr>
            <w:r>
              <w:rPr>
                <w:b/>
              </w:rPr>
              <w:t>Core Course</w:t>
            </w:r>
          </w:p>
        </w:tc>
        <w:tc>
          <w:tcPr>
            <w:tcW w:w="6678" w:type="dxa"/>
          </w:tcPr>
          <w:p w:rsidR="00573C56" w:rsidRPr="00654649" w:rsidRDefault="00573C56" w:rsidP="00A731F3">
            <w:pPr>
              <w:rPr>
                <w:b/>
              </w:rPr>
            </w:pPr>
            <w:r>
              <w:rPr>
                <w:b/>
              </w:rPr>
              <w:t>Connection with Core</w:t>
            </w:r>
          </w:p>
        </w:tc>
      </w:tr>
      <w:tr w:rsidR="00573C56" w:rsidTr="00A731F3">
        <w:tc>
          <w:tcPr>
            <w:tcW w:w="2898" w:type="dxa"/>
          </w:tcPr>
          <w:p w:rsidR="00573C56" w:rsidRDefault="00875070" w:rsidP="00A731F3">
            <w:r>
              <w:t>Leadership</w:t>
            </w:r>
          </w:p>
        </w:tc>
        <w:tc>
          <w:tcPr>
            <w:tcW w:w="6678" w:type="dxa"/>
          </w:tcPr>
          <w:p w:rsidR="00573C56" w:rsidRDefault="00875070" w:rsidP="00573C56">
            <w:pPr>
              <w:pStyle w:val="ListParagraph"/>
              <w:numPr>
                <w:ilvl w:val="0"/>
                <w:numId w:val="1"/>
              </w:numPr>
            </w:pPr>
            <w:r>
              <w:t>Influence &amp; persuasion</w:t>
            </w:r>
          </w:p>
          <w:p w:rsidR="00573C56" w:rsidRDefault="00875070" w:rsidP="00573C56">
            <w:pPr>
              <w:pStyle w:val="ListParagraph"/>
              <w:numPr>
                <w:ilvl w:val="0"/>
                <w:numId w:val="1"/>
              </w:numPr>
            </w:pPr>
            <w:r>
              <w:t>Teams</w:t>
            </w:r>
          </w:p>
          <w:p w:rsidR="00573C56" w:rsidRDefault="00573C56" w:rsidP="00875070"/>
        </w:tc>
      </w:tr>
      <w:tr w:rsidR="00573C56" w:rsidTr="00A731F3">
        <w:tc>
          <w:tcPr>
            <w:tcW w:w="2898" w:type="dxa"/>
          </w:tcPr>
          <w:p w:rsidR="00573C56" w:rsidRDefault="00875070" w:rsidP="00875070">
            <w:r>
              <w:t>Managerial Economics</w:t>
            </w:r>
          </w:p>
        </w:tc>
        <w:tc>
          <w:tcPr>
            <w:tcW w:w="6678" w:type="dxa"/>
          </w:tcPr>
          <w:p w:rsidR="00573C56" w:rsidRDefault="00875070" w:rsidP="00573C56">
            <w:pPr>
              <w:pStyle w:val="ListParagraph"/>
              <w:numPr>
                <w:ilvl w:val="0"/>
                <w:numId w:val="2"/>
              </w:numPr>
            </w:pPr>
            <w:r>
              <w:t>Pricing with market power</w:t>
            </w:r>
          </w:p>
          <w:p w:rsidR="00573C56" w:rsidRDefault="00875070" w:rsidP="00573C56">
            <w:pPr>
              <w:pStyle w:val="ListParagraph"/>
              <w:numPr>
                <w:ilvl w:val="0"/>
                <w:numId w:val="2"/>
              </w:numPr>
            </w:pPr>
            <w:r>
              <w:t>Barriers to entry</w:t>
            </w:r>
          </w:p>
        </w:tc>
      </w:tr>
      <w:tr w:rsidR="00573C56" w:rsidTr="00A731F3">
        <w:tc>
          <w:tcPr>
            <w:tcW w:w="2898" w:type="dxa"/>
          </w:tcPr>
          <w:p w:rsidR="00573C56" w:rsidRDefault="00875070" w:rsidP="00875070">
            <w:r>
              <w:t>Statistics</w:t>
            </w:r>
          </w:p>
        </w:tc>
        <w:tc>
          <w:tcPr>
            <w:tcW w:w="6678" w:type="dxa"/>
          </w:tcPr>
          <w:p w:rsidR="00573C56" w:rsidRDefault="00875070" w:rsidP="00573C56">
            <w:pPr>
              <w:pStyle w:val="ListParagraph"/>
              <w:numPr>
                <w:ilvl w:val="0"/>
                <w:numId w:val="3"/>
              </w:numPr>
            </w:pPr>
            <w:r>
              <w:t>Variability</w:t>
            </w:r>
          </w:p>
          <w:p w:rsidR="00573C56" w:rsidRDefault="00875070" w:rsidP="00573C56">
            <w:pPr>
              <w:pStyle w:val="ListParagraph"/>
              <w:numPr>
                <w:ilvl w:val="0"/>
                <w:numId w:val="3"/>
              </w:numPr>
            </w:pPr>
            <w:r>
              <w:t>Linear regression</w:t>
            </w:r>
          </w:p>
          <w:p w:rsidR="00573C56" w:rsidRDefault="00573C56" w:rsidP="00875070">
            <w:pPr>
              <w:pStyle w:val="ListParagraph"/>
              <w:ind w:left="360"/>
            </w:pPr>
          </w:p>
        </w:tc>
      </w:tr>
      <w:tr w:rsidR="00573C56" w:rsidTr="00A731F3">
        <w:tc>
          <w:tcPr>
            <w:tcW w:w="2898" w:type="dxa"/>
          </w:tcPr>
          <w:p w:rsidR="00573C56" w:rsidRDefault="00875070" w:rsidP="00A731F3">
            <w:r>
              <w:t>Operations Management</w:t>
            </w:r>
          </w:p>
        </w:tc>
        <w:tc>
          <w:tcPr>
            <w:tcW w:w="6678" w:type="dxa"/>
          </w:tcPr>
          <w:p w:rsidR="00573C56" w:rsidRDefault="00E86AD1" w:rsidP="00573C56">
            <w:pPr>
              <w:pStyle w:val="ListParagraph"/>
              <w:numPr>
                <w:ilvl w:val="0"/>
                <w:numId w:val="4"/>
              </w:numPr>
            </w:pPr>
            <w:r>
              <w:t>Alignment of business strategy and processes</w:t>
            </w:r>
          </w:p>
          <w:p w:rsidR="00573C56" w:rsidRDefault="00E86AD1" w:rsidP="00E86AD1">
            <w:pPr>
              <w:pStyle w:val="ListParagraph"/>
              <w:numPr>
                <w:ilvl w:val="0"/>
                <w:numId w:val="4"/>
              </w:numPr>
            </w:pPr>
            <w:r>
              <w:t>Managing quality</w:t>
            </w:r>
          </w:p>
        </w:tc>
      </w:tr>
    </w:tbl>
    <w:p w:rsidR="00573C56" w:rsidRDefault="00573C56" w:rsidP="00573C56">
      <w:r>
        <w:t>Students will be expected to have mastered these concepts and be able to apply them in the course.</w:t>
      </w:r>
    </w:p>
    <w:p w:rsidR="00934BFC" w:rsidRDefault="00934BFC" w:rsidP="00934BFC"/>
    <w:p w:rsidR="005A6147" w:rsidRDefault="005A6147" w:rsidP="00934BFC">
      <w:pPr>
        <w:rPr>
          <w:b/>
        </w:rPr>
      </w:pPr>
    </w:p>
    <w:p w:rsidR="00934BFC" w:rsidRPr="00934BFC" w:rsidRDefault="00934BFC" w:rsidP="00934BFC">
      <w:r>
        <w:rPr>
          <w:b/>
        </w:rPr>
        <w:lastRenderedPageBreak/>
        <w:t>COURSE DESCRIPTION</w:t>
      </w:r>
    </w:p>
    <w:p w:rsidR="00FD744C" w:rsidRPr="00E45F9E" w:rsidRDefault="00FD744C" w:rsidP="00FD744C">
      <w:pPr>
        <w:pStyle w:val="NormalWeb"/>
        <w:spacing w:before="0" w:beforeAutospacing="0" w:after="0" w:afterAutospacing="0"/>
        <w:ind w:right="540"/>
        <w:rPr>
          <w:rFonts w:ascii="Century Gothic" w:hAnsi="Century Gothic"/>
        </w:rPr>
      </w:pP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E45F9E">
            <w:rPr>
              <w:rFonts w:ascii="Century Gothic" w:hAnsi="Century Gothic" w:cs="Arial"/>
              <w:color w:val="000000"/>
              <w:sz w:val="20"/>
              <w:szCs w:val="20"/>
            </w:rPr>
            <w:t>U.S.</w:t>
          </w:r>
        </w:smartTag>
      </w:smartTag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 healthcare system is an enormously comp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lex, trillion-dollar industry. </w:t>
      </w: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It includes thousands of hospitals, nursing homes, specialized care facilities, independent practices and partnerships,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web-based and IT supported service companies, </w:t>
      </w: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managed care organizations, and major manufacturing corporations. </w:t>
      </w:r>
      <w:smartTag w:uri="urn:schemas-microsoft-com:office:smarttags" w:element="PersonName">
        <w:r w:rsidRPr="00E45F9E">
          <w:rPr>
            <w:rFonts w:ascii="Century Gothic" w:hAnsi="Century Gothic" w:cs="Arial"/>
            <w:color w:val="000000"/>
            <w:sz w:val="20"/>
            <w:szCs w:val="20"/>
          </w:rPr>
          <w:t>Healthcare</w:t>
        </w:r>
      </w:smartTag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 is the fastest growing component of many consulting practices and investment portfolios. In dollar terms, it accounts for </w:t>
      </w:r>
      <w:r w:rsidR="008B28FE">
        <w:rPr>
          <w:rFonts w:ascii="Century Gothic" w:hAnsi="Century Gothic" w:cs="Arial"/>
          <w:color w:val="000000"/>
          <w:sz w:val="20"/>
          <w:szCs w:val="20"/>
        </w:rPr>
        <w:t xml:space="preserve">over </w:t>
      </w:r>
      <w:r>
        <w:rPr>
          <w:rFonts w:ascii="Century Gothic" w:hAnsi="Century Gothic" w:cs="Arial"/>
          <w:color w:val="000000"/>
          <w:sz w:val="20"/>
          <w:szCs w:val="20"/>
        </w:rPr>
        <w:t>18</w:t>
      </w:r>
      <w:r w:rsidRPr="00E45F9E">
        <w:rPr>
          <w:rFonts w:ascii="Century Gothic" w:hAnsi="Century Gothic" w:cs="Arial"/>
          <w:color w:val="000000"/>
          <w:sz w:val="20"/>
          <w:szCs w:val="20"/>
        </w:rPr>
        <w:t>% of GDP and is l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arger than the total economy of </w:t>
      </w:r>
      <w:r w:rsidRPr="00E45F9E">
        <w:rPr>
          <w:rFonts w:ascii="Century Gothic" w:hAnsi="Century Gothic" w:cs="Arial"/>
          <w:color w:val="000000"/>
          <w:sz w:val="20"/>
          <w:szCs w:val="20"/>
        </w:rPr>
        <w:t>Italy.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I</w:t>
      </w:r>
      <w:r w:rsidRPr="00E45F9E">
        <w:rPr>
          <w:rFonts w:ascii="Century Gothic" w:hAnsi="Century Gothic" w:cs="Arial"/>
          <w:color w:val="000000"/>
          <w:sz w:val="20"/>
          <w:szCs w:val="20"/>
        </w:rPr>
        <w:t>t continues to grow in size and complexity,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complicating the long-standing </w:t>
      </w: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problems of increasing costs, limited consumer access, and inconsistent quality.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And, the historic </w:t>
      </w:r>
      <w:r w:rsidR="008B28FE">
        <w:rPr>
          <w:rFonts w:ascii="Century Gothic" w:hAnsi="Century Gothic" w:cs="Arial"/>
          <w:color w:val="000000"/>
          <w:sz w:val="20"/>
          <w:szCs w:val="20"/>
        </w:rPr>
        <w:t xml:space="preserve">Affordable Care Act </w:t>
      </w:r>
      <w:r>
        <w:rPr>
          <w:rFonts w:ascii="Century Gothic" w:hAnsi="Century Gothic" w:cs="Arial"/>
          <w:color w:val="000000"/>
          <w:sz w:val="20"/>
          <w:szCs w:val="20"/>
        </w:rPr>
        <w:t>will have major implications for years to come. T</w:t>
      </w: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his tremendous dynamism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is unmatched by any other industry and </w:t>
      </w: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offers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incredible </w:t>
      </w: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opportunities for new business </w:t>
      </w:r>
      <w:r>
        <w:rPr>
          <w:rFonts w:ascii="Century Gothic" w:hAnsi="Century Gothic" w:cs="Arial"/>
          <w:color w:val="000000"/>
          <w:sz w:val="20"/>
          <w:szCs w:val="20"/>
        </w:rPr>
        <w:t>endeavor</w:t>
      </w:r>
      <w:r w:rsidRPr="00E45F9E">
        <w:rPr>
          <w:rFonts w:ascii="Century Gothic" w:hAnsi="Century Gothic" w:cs="Arial"/>
          <w:color w:val="000000"/>
          <w:sz w:val="20"/>
          <w:szCs w:val="20"/>
        </w:rPr>
        <w:t>s.</w:t>
      </w:r>
    </w:p>
    <w:p w:rsidR="00FD744C" w:rsidRPr="00E45F9E" w:rsidRDefault="00FD744C" w:rsidP="00FD744C">
      <w:pPr>
        <w:pStyle w:val="NormalWeb"/>
        <w:spacing w:before="0" w:beforeAutospacing="0" w:after="0" w:afterAutospacing="0"/>
        <w:ind w:right="540"/>
        <w:rPr>
          <w:rFonts w:ascii="Century Gothic" w:hAnsi="Century Gothic"/>
        </w:rPr>
      </w:pPr>
      <w:r w:rsidRPr="00E45F9E">
        <w:rPr>
          <w:rFonts w:ascii="Century Gothic" w:hAnsi="Century Gothic" w:cs="Arial"/>
          <w:color w:val="000000"/>
          <w:sz w:val="20"/>
          <w:szCs w:val="20"/>
        </w:rPr>
        <w:t> </w:t>
      </w:r>
    </w:p>
    <w:p w:rsidR="00FD744C" w:rsidRDefault="00FD744C" w:rsidP="00FD744C">
      <w:pPr>
        <w:pStyle w:val="NormalWeb"/>
        <w:spacing w:before="0" w:beforeAutospacing="0" w:after="0" w:afterAutospacing="0"/>
        <w:ind w:right="540"/>
        <w:rPr>
          <w:rFonts w:ascii="Century Gothic" w:hAnsi="Century Gothic" w:cs="Arial"/>
          <w:color w:val="000000"/>
          <w:sz w:val="20"/>
          <w:szCs w:val="20"/>
        </w:rPr>
      </w:pPr>
      <w:r w:rsidRPr="00E45F9E">
        <w:rPr>
          <w:rFonts w:ascii="Century Gothic" w:hAnsi="Century Gothic" w:cs="Arial"/>
          <w:color w:val="000000"/>
          <w:sz w:val="20"/>
          <w:szCs w:val="20"/>
        </w:rPr>
        <w:t>This course will provide an overview of the fast-evolving U.S. healthcare industry, the major players involved in the production and delivery of healthcare, and the key cha</w:t>
      </w:r>
      <w:r>
        <w:rPr>
          <w:rFonts w:ascii="Century Gothic" w:hAnsi="Century Gothic" w:cs="Arial"/>
          <w:color w:val="000000"/>
          <w:sz w:val="20"/>
          <w:szCs w:val="20"/>
        </w:rPr>
        <w:t>llenges and opportunities presented by new technologies, financing mechanisms, business models, and the political and regulatory developments engendered by recent legislation.</w:t>
      </w:r>
    </w:p>
    <w:p w:rsidR="00FD744C" w:rsidRDefault="00FD744C" w:rsidP="00FD744C">
      <w:pPr>
        <w:pStyle w:val="NormalWeb"/>
        <w:spacing w:before="0" w:beforeAutospacing="0" w:after="0" w:afterAutospacing="0"/>
        <w:ind w:right="540"/>
        <w:rPr>
          <w:rFonts w:ascii="Century Gothic" w:hAnsi="Century Gothic" w:cs="Arial"/>
          <w:color w:val="000000"/>
          <w:sz w:val="20"/>
          <w:szCs w:val="20"/>
        </w:rPr>
      </w:pPr>
    </w:p>
    <w:p w:rsidR="00934BFC" w:rsidRPr="00934BFC" w:rsidRDefault="00934BFC" w:rsidP="00934BFC">
      <w:pPr>
        <w:rPr>
          <w:b/>
        </w:rPr>
      </w:pPr>
      <w:r w:rsidRPr="00934BFC">
        <w:rPr>
          <w:b/>
        </w:rPr>
        <w:t>COURSE OBJECTIVES</w:t>
      </w:r>
    </w:p>
    <w:p w:rsidR="00E27681" w:rsidRPr="00FD744C" w:rsidRDefault="00BA2C1D" w:rsidP="00FD744C">
      <w:pPr>
        <w:numPr>
          <w:ilvl w:val="0"/>
          <w:numId w:val="5"/>
        </w:numPr>
      </w:pPr>
      <w:r w:rsidRPr="00FD744C">
        <w:t>Examine the factors and forces shaping the health care industry.</w:t>
      </w:r>
    </w:p>
    <w:p w:rsidR="00E27681" w:rsidRPr="00FD744C" w:rsidRDefault="00BA2C1D" w:rsidP="00FD744C">
      <w:pPr>
        <w:numPr>
          <w:ilvl w:val="0"/>
          <w:numId w:val="5"/>
        </w:numPr>
      </w:pPr>
      <w:r w:rsidRPr="00FD744C">
        <w:t>Provide an overview of the major players and their interactions.</w:t>
      </w:r>
    </w:p>
    <w:p w:rsidR="00E27681" w:rsidRPr="00FD744C" w:rsidRDefault="00BA2C1D" w:rsidP="00FD744C">
      <w:pPr>
        <w:numPr>
          <w:ilvl w:val="0"/>
          <w:numId w:val="5"/>
        </w:numPr>
      </w:pPr>
      <w:r w:rsidRPr="00FD744C">
        <w:t>Identify major trends and likely developments.</w:t>
      </w:r>
    </w:p>
    <w:p w:rsidR="00E27681" w:rsidRPr="00FD744C" w:rsidRDefault="00BA2C1D" w:rsidP="00FD744C">
      <w:pPr>
        <w:numPr>
          <w:ilvl w:val="0"/>
          <w:numId w:val="5"/>
        </w:numPr>
      </w:pPr>
      <w:r w:rsidRPr="00FD744C">
        <w:t>Analyze the biggest challenges with respect to creating more cost-efficient and effective healthcare services and products.</w:t>
      </w:r>
    </w:p>
    <w:p w:rsidR="00E27681" w:rsidRDefault="00BA2C1D" w:rsidP="00FD744C">
      <w:pPr>
        <w:numPr>
          <w:ilvl w:val="0"/>
          <w:numId w:val="5"/>
        </w:numPr>
      </w:pPr>
      <w:r w:rsidRPr="00FD744C">
        <w:t>Facilitate the evaluation of new health care initiatives in light of all of the above.</w:t>
      </w:r>
    </w:p>
    <w:p w:rsidR="004E1D39" w:rsidRPr="00FD744C" w:rsidRDefault="004E1D39" w:rsidP="004E1D39">
      <w:pPr>
        <w:ind w:left="720"/>
      </w:pPr>
    </w:p>
    <w:p w:rsidR="00934BFC" w:rsidRPr="00375E78" w:rsidRDefault="00934BFC" w:rsidP="00934BFC">
      <w:pPr>
        <w:rPr>
          <w:b/>
        </w:rPr>
      </w:pPr>
      <w:r w:rsidRPr="00375E78">
        <w:rPr>
          <w:b/>
        </w:rPr>
        <w:t>ASSIGNMENTS</w:t>
      </w:r>
    </w:p>
    <w:p w:rsidR="00375E78" w:rsidRDefault="008B28FE" w:rsidP="00375E78">
      <w:pPr>
        <w:pStyle w:val="NormalWeb"/>
        <w:tabs>
          <w:tab w:val="left" w:pos="9360"/>
        </w:tabs>
        <w:spacing w:before="0" w:beforeAutospacing="0" w:after="0" w:afterAutospacing="0"/>
        <w:ind w:righ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You will be expected to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 xml:space="preserve">submit  </w:t>
      </w:r>
      <w:r w:rsidRPr="008B28FE">
        <w:rPr>
          <w:rFonts w:asciiTheme="minorHAnsi" w:hAnsiTheme="minorHAnsi" w:cs="Arial"/>
          <w:color w:val="000000"/>
          <w:sz w:val="22"/>
          <w:szCs w:val="22"/>
          <w:u w:val="single"/>
        </w:rPr>
        <w:t>four</w:t>
      </w:r>
      <w:proofErr w:type="gramEnd"/>
      <w:r w:rsidR="00375E78" w:rsidRPr="008B28FE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8B28FE">
        <w:rPr>
          <w:rFonts w:asciiTheme="minorHAnsi" w:hAnsiTheme="minorHAnsi" w:cs="Arial"/>
          <w:color w:val="000000"/>
          <w:sz w:val="22"/>
          <w:szCs w:val="22"/>
          <w:u w:val="single"/>
        </w:rPr>
        <w:t>out of five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75E78" w:rsidRPr="00375E78">
        <w:rPr>
          <w:rFonts w:asciiTheme="minorHAnsi" w:hAnsiTheme="minorHAnsi" w:cs="Arial"/>
          <w:color w:val="000000"/>
          <w:sz w:val="22"/>
          <w:szCs w:val="22"/>
        </w:rPr>
        <w:t xml:space="preserve">written case assignments. </w:t>
      </w:r>
      <w:r w:rsidR="0047482C">
        <w:rPr>
          <w:rFonts w:asciiTheme="minorHAnsi" w:hAnsiTheme="minorHAnsi" w:cs="Arial"/>
          <w:color w:val="000000"/>
          <w:sz w:val="22"/>
          <w:szCs w:val="22"/>
        </w:rPr>
        <w:t xml:space="preserve">Each is due before class and will form the basis of much of the class discussion.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Even if you do not submit a written assignment, you will be expected to have read the case and be able to discuss it. </w:t>
      </w:r>
      <w:r w:rsidR="0047482C" w:rsidRPr="008B28FE">
        <w:rPr>
          <w:rFonts w:asciiTheme="minorHAnsi" w:hAnsiTheme="minorHAnsi" w:cs="Arial"/>
          <w:color w:val="000000"/>
          <w:sz w:val="22"/>
          <w:szCs w:val="22"/>
          <w:u w:val="single"/>
        </w:rPr>
        <w:t>Late assignments will not be accepted</w:t>
      </w:r>
      <w:r w:rsidR="0047482C">
        <w:rPr>
          <w:rFonts w:asciiTheme="minorHAnsi" w:hAnsiTheme="minorHAnsi" w:cs="Arial"/>
          <w:color w:val="000000"/>
          <w:sz w:val="22"/>
          <w:szCs w:val="22"/>
        </w:rPr>
        <w:t xml:space="preserve"> unless there is an exceptional circumstance. </w:t>
      </w:r>
      <w:r w:rsidR="009C42DB">
        <w:rPr>
          <w:rFonts w:asciiTheme="minorHAnsi" w:hAnsiTheme="minorHAnsi" w:cs="Arial"/>
          <w:color w:val="000000"/>
          <w:sz w:val="22"/>
          <w:szCs w:val="22"/>
        </w:rPr>
        <w:t xml:space="preserve">Under the business school designation, these assignments are </w:t>
      </w:r>
      <w:r w:rsidR="00082230">
        <w:rPr>
          <w:rFonts w:asciiTheme="minorHAnsi" w:hAnsiTheme="minorHAnsi" w:cs="Arial"/>
          <w:color w:val="000000"/>
          <w:sz w:val="22"/>
          <w:szCs w:val="22"/>
        </w:rPr>
        <w:t>T</w:t>
      </w:r>
      <w:r w:rsidR="009C42DB">
        <w:rPr>
          <w:rFonts w:asciiTheme="minorHAnsi" w:hAnsiTheme="minorHAnsi" w:cs="Arial"/>
          <w:color w:val="000000"/>
          <w:sz w:val="22"/>
          <w:szCs w:val="22"/>
        </w:rPr>
        <w:t xml:space="preserve">ype B. </w:t>
      </w:r>
      <w:r w:rsidR="00375E78" w:rsidRPr="00375E78">
        <w:rPr>
          <w:rFonts w:asciiTheme="minorHAnsi" w:hAnsiTheme="minorHAnsi" w:cs="Arial"/>
          <w:color w:val="000000"/>
          <w:sz w:val="22"/>
          <w:szCs w:val="22"/>
        </w:rPr>
        <w:t>You may discuss the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cases</w:t>
      </w:r>
      <w:r w:rsidR="00375E78" w:rsidRPr="00375E78">
        <w:rPr>
          <w:rFonts w:asciiTheme="minorHAnsi" w:hAnsiTheme="minorHAnsi" w:cs="Arial"/>
          <w:color w:val="000000"/>
          <w:sz w:val="22"/>
          <w:szCs w:val="22"/>
        </w:rPr>
        <w:t xml:space="preserve"> in your groups, but you must hand in your own individually written report. </w:t>
      </w:r>
      <w:r w:rsidR="00375E78">
        <w:rPr>
          <w:rFonts w:asciiTheme="minorHAnsi" w:hAnsiTheme="minorHAnsi" w:cs="Arial"/>
          <w:color w:val="000000"/>
          <w:sz w:val="22"/>
          <w:szCs w:val="22"/>
        </w:rPr>
        <w:t xml:space="preserve">Grades will be assigned on an individual basis and the grade will be out of a maximum of 7 points. </w:t>
      </w:r>
      <w:r w:rsidR="00375E78" w:rsidRPr="00375E78">
        <w:rPr>
          <w:rFonts w:asciiTheme="minorHAnsi" w:hAnsiTheme="minorHAnsi" w:cs="Arial"/>
          <w:color w:val="000000"/>
          <w:sz w:val="22"/>
          <w:szCs w:val="22"/>
        </w:rPr>
        <w:t>The reports will address specific questions that I will supply for each case and should be no more than 2 pages. </w:t>
      </w:r>
    </w:p>
    <w:p w:rsidR="00375E78" w:rsidRDefault="00375E78" w:rsidP="00375E78">
      <w:pPr>
        <w:pStyle w:val="NormalWeb"/>
        <w:tabs>
          <w:tab w:val="left" w:pos="9360"/>
        </w:tabs>
        <w:spacing w:before="0" w:beforeAutospacing="0" w:after="0" w:afterAutospacing="0"/>
        <w:ind w:right="360"/>
        <w:rPr>
          <w:rFonts w:asciiTheme="minorHAnsi" w:hAnsiTheme="minorHAnsi" w:cs="Arial"/>
          <w:color w:val="000000"/>
          <w:sz w:val="22"/>
          <w:szCs w:val="22"/>
        </w:rPr>
      </w:pPr>
    </w:p>
    <w:p w:rsidR="00375E78" w:rsidRDefault="00375E78" w:rsidP="00375E78">
      <w:pPr>
        <w:pStyle w:val="NormalWeb"/>
        <w:tabs>
          <w:tab w:val="left" w:pos="9360"/>
        </w:tabs>
        <w:spacing w:before="0" w:beforeAutospacing="0" w:after="0" w:afterAutospacing="0"/>
        <w:ind w:righ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cases are:</w:t>
      </w:r>
    </w:p>
    <w:p w:rsidR="00375E78" w:rsidRDefault="00375E78" w:rsidP="00375E78">
      <w:pPr>
        <w:pStyle w:val="NormalWeb"/>
        <w:tabs>
          <w:tab w:val="left" w:pos="9360"/>
        </w:tabs>
        <w:spacing w:before="0" w:beforeAutospacing="0" w:after="0" w:afterAutospacing="0"/>
        <w:ind w:right="360"/>
        <w:rPr>
          <w:rFonts w:asciiTheme="minorHAnsi" w:hAnsiTheme="minorHAnsi" w:cs="Arial"/>
          <w:color w:val="000000"/>
          <w:sz w:val="22"/>
          <w:szCs w:val="22"/>
        </w:rPr>
      </w:pPr>
    </w:p>
    <w:p w:rsidR="00375E78" w:rsidRDefault="00375E78" w:rsidP="00375E78">
      <w:pPr>
        <w:pStyle w:val="NormalWeb"/>
        <w:tabs>
          <w:tab w:val="left" w:pos="9360"/>
        </w:tabs>
        <w:spacing w:before="0" w:beforeAutospacing="0" w:after="0" w:afterAutospacing="0"/>
        <w:ind w:righ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Medtronics</w:t>
      </w:r>
    </w:p>
    <w:p w:rsidR="00375E78" w:rsidRDefault="00375E78" w:rsidP="00375E78">
      <w:pPr>
        <w:pStyle w:val="NormalWeb"/>
        <w:tabs>
          <w:tab w:val="left" w:pos="9360"/>
        </w:tabs>
        <w:spacing w:before="0" w:beforeAutospacing="0" w:after="0" w:afterAutospacing="0"/>
        <w:ind w:righ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Dana Farber</w:t>
      </w:r>
    </w:p>
    <w:p w:rsidR="0031640B" w:rsidRDefault="0031640B" w:rsidP="00375E78">
      <w:pPr>
        <w:pStyle w:val="NormalWeb"/>
        <w:tabs>
          <w:tab w:val="left" w:pos="9360"/>
        </w:tabs>
        <w:spacing w:before="0" w:beforeAutospacing="0" w:after="0" w:afterAutospacing="0"/>
        <w:ind w:righ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Virginia Mason</w:t>
      </w:r>
    </w:p>
    <w:p w:rsidR="00375E78" w:rsidRDefault="00375E78" w:rsidP="00375E78">
      <w:pPr>
        <w:pStyle w:val="NormalWeb"/>
        <w:tabs>
          <w:tab w:val="left" w:pos="9360"/>
        </w:tabs>
        <w:spacing w:before="0" w:beforeAutospacing="0" w:after="0" w:afterAutospacing="0"/>
        <w:ind w:righ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Intermountain Healthcare</w:t>
      </w:r>
    </w:p>
    <w:p w:rsidR="00375E78" w:rsidRDefault="00375E78" w:rsidP="00375E78">
      <w:pPr>
        <w:pStyle w:val="NormalWeb"/>
        <w:tabs>
          <w:tab w:val="left" w:pos="9360"/>
        </w:tabs>
        <w:spacing w:before="0" w:beforeAutospacing="0" w:after="0" w:afterAutospacing="0"/>
        <w:ind w:right="3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Heartport</w:t>
      </w:r>
    </w:p>
    <w:p w:rsidR="00375E78" w:rsidRPr="00375E78" w:rsidRDefault="00375E78" w:rsidP="00375E78">
      <w:pPr>
        <w:pStyle w:val="NormalWeb"/>
        <w:tabs>
          <w:tab w:val="left" w:pos="9360"/>
        </w:tabs>
        <w:spacing w:before="0" w:beforeAutospacing="0" w:after="0" w:afterAutospacing="0"/>
        <w:ind w:right="360"/>
        <w:rPr>
          <w:rFonts w:asciiTheme="minorHAnsi" w:hAnsiTheme="minorHAnsi" w:cs="Arial"/>
          <w:color w:val="000000"/>
          <w:sz w:val="22"/>
          <w:szCs w:val="22"/>
        </w:rPr>
      </w:pPr>
    </w:p>
    <w:p w:rsidR="00567325" w:rsidRPr="00567325" w:rsidRDefault="00567325" w:rsidP="00567325">
      <w:pPr>
        <w:ind w:right="540"/>
      </w:pPr>
      <w:bookmarkStart w:id="1" w:name="methodsandmaterials"/>
      <w:r w:rsidRPr="00567325">
        <w:rPr>
          <w:rFonts w:cs="Arial"/>
          <w:b/>
          <w:bCs/>
          <w:color w:val="000000"/>
        </w:rPr>
        <w:lastRenderedPageBreak/>
        <w:t>M</w:t>
      </w:r>
      <w:r>
        <w:rPr>
          <w:rFonts w:cs="Arial"/>
          <w:b/>
          <w:bCs/>
          <w:color w:val="000000"/>
        </w:rPr>
        <w:t>ETHODS AND MATERIALS</w:t>
      </w:r>
      <w:bookmarkEnd w:id="1"/>
    </w:p>
    <w:p w:rsidR="00567325" w:rsidRPr="00E45F9E" w:rsidRDefault="00567325" w:rsidP="00567325">
      <w:pPr>
        <w:pStyle w:val="NormalWeb"/>
        <w:spacing w:before="0" w:beforeAutospacing="0" w:after="0" w:afterAutospacing="0"/>
        <w:ind w:right="540"/>
        <w:rPr>
          <w:rFonts w:ascii="Century Gothic" w:hAnsi="Century Gothic"/>
        </w:rPr>
      </w:pP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All readings and cases are contained in the course pack.  Additional readings and assignments will be </w:t>
      </w:r>
      <w:r w:rsidR="008B28FE">
        <w:rPr>
          <w:rFonts w:ascii="Century Gothic" w:hAnsi="Century Gothic" w:cs="Arial"/>
          <w:color w:val="000000"/>
          <w:sz w:val="20"/>
          <w:szCs w:val="20"/>
        </w:rPr>
        <w:t xml:space="preserve">posted on Canvas </w:t>
      </w: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as needed. The course involves a mixture of lectures, </w:t>
      </w:r>
      <w:r w:rsidR="00DE3A17">
        <w:rPr>
          <w:rFonts w:ascii="Century Gothic" w:hAnsi="Century Gothic" w:cs="Arial"/>
          <w:color w:val="000000"/>
          <w:sz w:val="20"/>
          <w:szCs w:val="20"/>
        </w:rPr>
        <w:t xml:space="preserve">class discussions, </w:t>
      </w: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case </w:t>
      </w:r>
      <w:r w:rsidR="00DE3A17">
        <w:rPr>
          <w:rFonts w:ascii="Century Gothic" w:hAnsi="Century Gothic" w:cs="Arial"/>
          <w:color w:val="000000"/>
          <w:sz w:val="20"/>
          <w:szCs w:val="20"/>
        </w:rPr>
        <w:t xml:space="preserve">analyses </w:t>
      </w: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and presentations by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prominent </w:t>
      </w: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guest speakers. The workload consists of class participation, case assignments, and a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take-home </w:t>
      </w:r>
      <w:r w:rsidRPr="00E45F9E">
        <w:rPr>
          <w:rFonts w:ascii="Century Gothic" w:hAnsi="Century Gothic" w:cs="Arial"/>
          <w:color w:val="000000"/>
          <w:sz w:val="20"/>
          <w:szCs w:val="20"/>
        </w:rPr>
        <w:t xml:space="preserve">final </w:t>
      </w:r>
      <w:r>
        <w:rPr>
          <w:rFonts w:ascii="Century Gothic" w:hAnsi="Century Gothic" w:cs="Arial"/>
          <w:color w:val="000000"/>
          <w:sz w:val="20"/>
          <w:szCs w:val="20"/>
        </w:rPr>
        <w:t>exam</w:t>
      </w:r>
      <w:r w:rsidRPr="00E45F9E">
        <w:rPr>
          <w:rFonts w:ascii="Century Gothic" w:hAnsi="Century Gothic" w:cs="Arial"/>
          <w:color w:val="000000"/>
          <w:sz w:val="20"/>
          <w:szCs w:val="20"/>
        </w:rPr>
        <w:t>.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Course grading will be based on the following evaluation weights:</w:t>
      </w:r>
    </w:p>
    <w:p w:rsidR="00375E78" w:rsidRPr="00375E78" w:rsidRDefault="00375E78" w:rsidP="00934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260"/>
      </w:tblGrid>
      <w:tr w:rsidR="00535F4E" w:rsidTr="00A731F3">
        <w:tc>
          <w:tcPr>
            <w:tcW w:w="2718" w:type="dxa"/>
          </w:tcPr>
          <w:p w:rsidR="00535F4E" w:rsidRDefault="00A46929" w:rsidP="00A731F3">
            <w:r>
              <w:t>P</w:t>
            </w:r>
            <w:r w:rsidR="00535F4E">
              <w:t>articipation</w:t>
            </w:r>
          </w:p>
        </w:tc>
        <w:tc>
          <w:tcPr>
            <w:tcW w:w="1260" w:type="dxa"/>
          </w:tcPr>
          <w:p w:rsidR="00535F4E" w:rsidRDefault="008B28FE" w:rsidP="00130A15">
            <w:r>
              <w:t>1</w:t>
            </w:r>
            <w:r w:rsidR="00130A15">
              <w:t>5</w:t>
            </w:r>
            <w:r w:rsidR="00535F4E">
              <w:t>%</w:t>
            </w:r>
          </w:p>
        </w:tc>
      </w:tr>
      <w:tr w:rsidR="00535F4E" w:rsidTr="00A731F3">
        <w:tc>
          <w:tcPr>
            <w:tcW w:w="2718" w:type="dxa"/>
          </w:tcPr>
          <w:p w:rsidR="00535F4E" w:rsidRDefault="00375E78" w:rsidP="00A731F3">
            <w:r>
              <w:t>Case Assignments</w:t>
            </w:r>
          </w:p>
        </w:tc>
        <w:tc>
          <w:tcPr>
            <w:tcW w:w="1260" w:type="dxa"/>
          </w:tcPr>
          <w:p w:rsidR="00535F4E" w:rsidRDefault="008B28FE" w:rsidP="00A731F3">
            <w:r>
              <w:t>40</w:t>
            </w:r>
            <w:r w:rsidR="00535F4E">
              <w:t>%</w:t>
            </w:r>
          </w:p>
        </w:tc>
      </w:tr>
      <w:tr w:rsidR="00535F4E" w:rsidTr="00A731F3">
        <w:tc>
          <w:tcPr>
            <w:tcW w:w="2718" w:type="dxa"/>
          </w:tcPr>
          <w:p w:rsidR="00535F4E" w:rsidRDefault="00375E78" w:rsidP="00A731F3">
            <w:r>
              <w:t>Final Exam</w:t>
            </w:r>
          </w:p>
        </w:tc>
        <w:tc>
          <w:tcPr>
            <w:tcW w:w="1260" w:type="dxa"/>
          </w:tcPr>
          <w:p w:rsidR="00535F4E" w:rsidRDefault="00130A15" w:rsidP="00130A15">
            <w:r>
              <w:t>4</w:t>
            </w:r>
            <w:r w:rsidR="008B28FE">
              <w:t>5</w:t>
            </w:r>
            <w:r w:rsidR="00375E78">
              <w:t>%</w:t>
            </w:r>
          </w:p>
        </w:tc>
      </w:tr>
    </w:tbl>
    <w:p w:rsidR="00375E78" w:rsidRDefault="00375E78">
      <w:pPr>
        <w:rPr>
          <w:b/>
        </w:rPr>
      </w:pPr>
    </w:p>
    <w:p w:rsidR="006C336F" w:rsidRPr="00EB27E6" w:rsidRDefault="00535F4E">
      <w:pPr>
        <w:rPr>
          <w:b/>
        </w:rPr>
      </w:pPr>
      <w:r w:rsidRPr="00EB27E6">
        <w:rPr>
          <w:b/>
        </w:rPr>
        <w:t>CLASSROOM NORMS AND EXPECTATIONS</w:t>
      </w:r>
    </w:p>
    <w:p w:rsidR="0063563F" w:rsidRPr="00DE3A17" w:rsidRDefault="0079439D">
      <w:pPr>
        <w:rPr>
          <w:rFonts w:ascii="Century Gothic" w:hAnsi="Century Gothic"/>
          <w:b/>
          <w:sz w:val="20"/>
          <w:szCs w:val="20"/>
        </w:rPr>
      </w:pPr>
      <w:r w:rsidRPr="00DE3A17">
        <w:rPr>
          <w:rFonts w:ascii="Century Gothic" w:hAnsi="Century Gothic"/>
          <w:sz w:val="20"/>
          <w:szCs w:val="20"/>
        </w:rPr>
        <w:t>L</w:t>
      </w:r>
      <w:r w:rsidR="00375E78" w:rsidRPr="00DE3A17">
        <w:rPr>
          <w:rFonts w:ascii="Century Gothic" w:hAnsi="Century Gothic"/>
          <w:sz w:val="20"/>
          <w:szCs w:val="20"/>
        </w:rPr>
        <w:t>ectures, guest speakers, and class discussions are the major vehicles for learning the material. Therefore, it is imperative that you attend all classes</w:t>
      </w:r>
      <w:r w:rsidRPr="00DE3A17">
        <w:rPr>
          <w:rFonts w:ascii="Century Gothic" w:hAnsi="Century Gothic"/>
          <w:sz w:val="20"/>
          <w:szCs w:val="20"/>
        </w:rPr>
        <w:t xml:space="preserve">, arrive on time, and give speakers and your fellow classmates your full attention. If you cannot attend a specific class or have to arrive late or leave early, let me know </w:t>
      </w:r>
      <w:r w:rsidRPr="00DE3A17">
        <w:rPr>
          <w:rFonts w:ascii="Century Gothic" w:hAnsi="Century Gothic"/>
          <w:sz w:val="20"/>
          <w:szCs w:val="20"/>
          <w:u w:val="single"/>
        </w:rPr>
        <w:t>in advance</w:t>
      </w:r>
      <w:r w:rsidRPr="00DE3A17">
        <w:rPr>
          <w:rFonts w:ascii="Century Gothic" w:hAnsi="Century Gothic"/>
          <w:sz w:val="20"/>
          <w:szCs w:val="20"/>
        </w:rPr>
        <w:t xml:space="preserve"> by email.  Please refrain from using laptops, IPads, cellphones, etc. in class. You will be given session guides for all classes and you can use these to take notes.</w:t>
      </w:r>
    </w:p>
    <w:sectPr w:rsidR="0063563F" w:rsidRPr="00DE3A17" w:rsidSect="00535F4E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4A" w:rsidRDefault="001D0F4A" w:rsidP="00934BFC">
      <w:pPr>
        <w:spacing w:after="0" w:line="240" w:lineRule="auto"/>
      </w:pPr>
      <w:r>
        <w:separator/>
      </w:r>
    </w:p>
  </w:endnote>
  <w:endnote w:type="continuationSeparator" w:id="0">
    <w:p w:rsidR="001D0F4A" w:rsidRDefault="001D0F4A" w:rsidP="0093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FC" w:rsidRDefault="00934BFC">
    <w:pPr>
      <w:pStyle w:val="Footer"/>
    </w:pPr>
    <w:r>
      <w:t xml:space="preserve">Page </w:t>
    </w:r>
    <w:r w:rsidR="00CF512F">
      <w:rPr>
        <w:b/>
      </w:rPr>
      <w:fldChar w:fldCharType="begin"/>
    </w:r>
    <w:r>
      <w:rPr>
        <w:b/>
      </w:rPr>
      <w:instrText xml:space="preserve"> PAGE  \* Arabic  \* MERGEFORMAT </w:instrText>
    </w:r>
    <w:r w:rsidR="00CF512F">
      <w:rPr>
        <w:b/>
      </w:rPr>
      <w:fldChar w:fldCharType="separate"/>
    </w:r>
    <w:r w:rsidR="0084061F">
      <w:rPr>
        <w:b/>
        <w:noProof/>
      </w:rPr>
      <w:t>1</w:t>
    </w:r>
    <w:r w:rsidR="00CF512F">
      <w:rPr>
        <w:b/>
      </w:rPr>
      <w:fldChar w:fldCharType="end"/>
    </w:r>
    <w:r>
      <w:t xml:space="preserve"> of </w:t>
    </w:r>
    <w:fldSimple w:instr=" NUMPAGES  \* Arabic  \* MERGEFORMAT ">
      <w:r w:rsidR="0084061F" w:rsidRPr="0084061F">
        <w:rPr>
          <w:b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4A" w:rsidRDefault="001D0F4A" w:rsidP="00934BFC">
      <w:pPr>
        <w:spacing w:after="0" w:line="240" w:lineRule="auto"/>
      </w:pPr>
      <w:r>
        <w:separator/>
      </w:r>
    </w:p>
  </w:footnote>
  <w:footnote w:type="continuationSeparator" w:id="0">
    <w:p w:rsidR="001D0F4A" w:rsidRDefault="001D0F4A" w:rsidP="0093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FC" w:rsidRDefault="00573C56" w:rsidP="00573C56">
    <w:pPr>
      <w:pStyle w:val="Header"/>
      <w:jc w:val="both"/>
    </w:pPr>
    <w:r>
      <w:rPr>
        <w:noProof/>
      </w:rPr>
      <w:ptab w:relativeTo="margin" w:alignment="left" w:leader="none"/>
    </w:r>
    <w:r w:rsidR="00934BFC">
      <w:rPr>
        <w:noProof/>
      </w:rPr>
      <w:drawing>
        <wp:inline distT="0" distB="0" distL="0" distR="0">
          <wp:extent cx="2103120" cy="244686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_1line_4c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369"/>
    <w:multiLevelType w:val="hybridMultilevel"/>
    <w:tmpl w:val="7EDAE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529F8"/>
    <w:multiLevelType w:val="hybridMultilevel"/>
    <w:tmpl w:val="7EDAE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B00D5"/>
    <w:multiLevelType w:val="hybridMultilevel"/>
    <w:tmpl w:val="47EED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46439B"/>
    <w:multiLevelType w:val="hybridMultilevel"/>
    <w:tmpl w:val="CCC4F978"/>
    <w:lvl w:ilvl="0" w:tplc="3AC26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C90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83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808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4EA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E5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AF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C0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E4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26A18"/>
    <w:multiLevelType w:val="hybridMultilevel"/>
    <w:tmpl w:val="F2E26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FC"/>
    <w:rsid w:val="000203CF"/>
    <w:rsid w:val="00082230"/>
    <w:rsid w:val="000A6B12"/>
    <w:rsid w:val="000C7752"/>
    <w:rsid w:val="00130A15"/>
    <w:rsid w:val="001D0F4A"/>
    <w:rsid w:val="001D55F6"/>
    <w:rsid w:val="00297CFA"/>
    <w:rsid w:val="002F54E1"/>
    <w:rsid w:val="0031640B"/>
    <w:rsid w:val="00375E78"/>
    <w:rsid w:val="003D1350"/>
    <w:rsid w:val="003E3058"/>
    <w:rsid w:val="0047482C"/>
    <w:rsid w:val="004E1D39"/>
    <w:rsid w:val="00535F4E"/>
    <w:rsid w:val="0053678F"/>
    <w:rsid w:val="00567325"/>
    <w:rsid w:val="00573C56"/>
    <w:rsid w:val="005A6147"/>
    <w:rsid w:val="005B1557"/>
    <w:rsid w:val="0063563F"/>
    <w:rsid w:val="0079439D"/>
    <w:rsid w:val="00807BC2"/>
    <w:rsid w:val="0084061F"/>
    <w:rsid w:val="00875070"/>
    <w:rsid w:val="008B28FE"/>
    <w:rsid w:val="009249B1"/>
    <w:rsid w:val="00934BFC"/>
    <w:rsid w:val="00980870"/>
    <w:rsid w:val="009C42DB"/>
    <w:rsid w:val="00A46929"/>
    <w:rsid w:val="00AF0275"/>
    <w:rsid w:val="00AF6E46"/>
    <w:rsid w:val="00BA2C1D"/>
    <w:rsid w:val="00C1780B"/>
    <w:rsid w:val="00C578E7"/>
    <w:rsid w:val="00C91F49"/>
    <w:rsid w:val="00CF512F"/>
    <w:rsid w:val="00DB507F"/>
    <w:rsid w:val="00DD0E00"/>
    <w:rsid w:val="00DE3A17"/>
    <w:rsid w:val="00E27681"/>
    <w:rsid w:val="00E573A8"/>
    <w:rsid w:val="00E86AD1"/>
    <w:rsid w:val="00E94DBC"/>
    <w:rsid w:val="00EB27E6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FC"/>
  </w:style>
  <w:style w:type="paragraph" w:styleId="Footer">
    <w:name w:val="footer"/>
    <w:basedOn w:val="Normal"/>
    <w:link w:val="Foot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FC"/>
  </w:style>
  <w:style w:type="paragraph" w:styleId="BalloonText">
    <w:name w:val="Balloon Text"/>
    <w:basedOn w:val="Normal"/>
    <w:link w:val="BalloonTextChar"/>
    <w:uiPriority w:val="99"/>
    <w:semiHidden/>
    <w:unhideWhenUsed/>
    <w:rsid w:val="009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C56"/>
    <w:pPr>
      <w:ind w:left="720"/>
      <w:contextualSpacing/>
    </w:pPr>
  </w:style>
  <w:style w:type="paragraph" w:styleId="NormalWeb">
    <w:name w:val="Normal (Web)"/>
    <w:basedOn w:val="Normal"/>
    <w:rsid w:val="00FD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FC"/>
  </w:style>
  <w:style w:type="paragraph" w:styleId="Footer">
    <w:name w:val="footer"/>
    <w:basedOn w:val="Normal"/>
    <w:link w:val="FooterChar"/>
    <w:uiPriority w:val="99"/>
    <w:unhideWhenUsed/>
    <w:rsid w:val="0093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FC"/>
  </w:style>
  <w:style w:type="paragraph" w:styleId="BalloonText">
    <w:name w:val="Balloon Text"/>
    <w:basedOn w:val="Normal"/>
    <w:link w:val="BalloonTextChar"/>
    <w:uiPriority w:val="99"/>
    <w:semiHidden/>
    <w:unhideWhenUsed/>
    <w:rsid w:val="009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C56"/>
    <w:pPr>
      <w:ind w:left="720"/>
      <w:contextualSpacing/>
    </w:pPr>
  </w:style>
  <w:style w:type="paragraph" w:styleId="NormalWeb">
    <w:name w:val="Normal (Web)"/>
    <w:basedOn w:val="Normal"/>
    <w:rsid w:val="00FD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kk2012</dc:creator>
  <cp:lastModifiedBy>Magram, Clara</cp:lastModifiedBy>
  <cp:revision>2</cp:revision>
  <cp:lastPrinted>2013-07-02T13:55:00Z</cp:lastPrinted>
  <dcterms:created xsi:type="dcterms:W3CDTF">2014-07-01T18:23:00Z</dcterms:created>
  <dcterms:modified xsi:type="dcterms:W3CDTF">2014-07-01T18:23:00Z</dcterms:modified>
</cp:coreProperties>
</file>