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ADE5E" w14:textId="77777777" w:rsidR="00934BFC" w:rsidRDefault="00934BFC" w:rsidP="00934BFC"/>
    <w:p w14:paraId="38E1A580" w14:textId="77777777" w:rsidR="00934BFC" w:rsidRDefault="00934BFC" w:rsidP="00934BFC">
      <w:pPr>
        <w:sectPr w:rsidR="00934BFC" w:rsidSect="00535F4E">
          <w:headerReference w:type="default" r:id="rId8"/>
          <w:footerReference w:type="default" r:id="rId9"/>
          <w:pgSz w:w="12240" w:h="15840"/>
          <w:pgMar w:top="1440" w:right="720" w:bottom="1440" w:left="720" w:header="720" w:footer="720" w:gutter="0"/>
          <w:cols w:space="720"/>
          <w:docGrid w:linePitch="360"/>
        </w:sectPr>
      </w:pPr>
    </w:p>
    <w:p w14:paraId="4396E1D0" w14:textId="33801A39" w:rsidR="00535F4E" w:rsidRDefault="00DC0425" w:rsidP="00535F4E">
      <w:pPr>
        <w:jc w:val="center"/>
        <w:rPr>
          <w:b/>
          <w:sz w:val="28"/>
          <w:szCs w:val="28"/>
        </w:rPr>
      </w:pPr>
      <w:bookmarkStart w:id="0" w:name="_GoBack"/>
      <w:bookmarkEnd w:id="0"/>
      <w:r>
        <w:rPr>
          <w:b/>
          <w:sz w:val="28"/>
          <w:szCs w:val="28"/>
        </w:rPr>
        <w:lastRenderedPageBreak/>
        <w:t xml:space="preserve">IMPACT INVESTING </w:t>
      </w:r>
      <w:r w:rsidRPr="00DB1B15">
        <w:rPr>
          <w:b/>
          <w:sz w:val="28"/>
          <w:szCs w:val="28"/>
        </w:rPr>
        <w:t>SEMINAR (</w:t>
      </w:r>
      <w:r w:rsidR="00DB1B15" w:rsidRPr="00DB1B15">
        <w:rPr>
          <w:b/>
          <w:sz w:val="28"/>
          <w:szCs w:val="28"/>
        </w:rPr>
        <w:t>B8355</w:t>
      </w:r>
      <w:r w:rsidR="00291E97" w:rsidRPr="00DB1B15">
        <w:rPr>
          <w:b/>
          <w:sz w:val="28"/>
          <w:szCs w:val="28"/>
        </w:rPr>
        <w:t>)</w:t>
      </w:r>
    </w:p>
    <w:p w14:paraId="0E61B8E4" w14:textId="25F58915" w:rsidR="00535F4E" w:rsidRPr="00535F4E" w:rsidRDefault="002052D9" w:rsidP="00535F4E">
      <w:pPr>
        <w:jc w:val="center"/>
        <w:rPr>
          <w:b/>
          <w:sz w:val="28"/>
          <w:szCs w:val="28"/>
        </w:rPr>
      </w:pPr>
      <w:r>
        <w:rPr>
          <w:b/>
          <w:sz w:val="28"/>
          <w:szCs w:val="28"/>
        </w:rPr>
        <w:t>SPRING 2015</w:t>
      </w:r>
    </w:p>
    <w:p w14:paraId="55FEAB83" w14:textId="77777777" w:rsidR="00A03C4F" w:rsidRDefault="00A03C4F" w:rsidP="00934BFC">
      <w:r w:rsidRPr="00A03C4F">
        <w:t xml:space="preserve">Professor Bruce Usher </w:t>
      </w:r>
    </w:p>
    <w:p w14:paraId="2606B2A2" w14:textId="77777777" w:rsidR="00A03C4F" w:rsidRDefault="00A03C4F" w:rsidP="00A03C4F">
      <w:r>
        <w:t>Uris Hall 211</w:t>
      </w:r>
    </w:p>
    <w:p w14:paraId="69FFB5DC" w14:textId="77777777" w:rsidR="00A03C4F" w:rsidRDefault="00A03C4F" w:rsidP="00A03C4F">
      <w:r>
        <w:t>212 854 6100 / bmu2001@columbia.edu</w:t>
      </w:r>
    </w:p>
    <w:p w14:paraId="11F09DEE" w14:textId="77777777" w:rsidR="00934BFC" w:rsidRDefault="00A03C4F" w:rsidP="00A03C4F">
      <w:r>
        <w:t>Office Hours: By appointment only (contact Julie Adams, ja2403@columbia.edu)</w:t>
      </w:r>
    </w:p>
    <w:p w14:paraId="56E7613E" w14:textId="77777777" w:rsidR="00535F4E" w:rsidRDefault="00535F4E" w:rsidP="00934BFC">
      <w:pPr>
        <w:sectPr w:rsidR="00535F4E" w:rsidSect="00535F4E">
          <w:type w:val="continuous"/>
          <w:pgSz w:w="12240" w:h="15840"/>
          <w:pgMar w:top="1440" w:right="720" w:bottom="1440" w:left="720" w:header="720" w:footer="720" w:gutter="0"/>
          <w:cols w:space="720"/>
          <w:docGrid w:linePitch="360"/>
        </w:sectPr>
      </w:pPr>
    </w:p>
    <w:p w14:paraId="058A60B1" w14:textId="77777777" w:rsidR="00934BFC" w:rsidRPr="00F925FF" w:rsidRDefault="00934BFC" w:rsidP="00934BFC">
      <w:r w:rsidRPr="00F925FF">
        <w:rPr>
          <w:noProof/>
        </w:rPr>
        <w:lastRenderedPageBreak/>
        <mc:AlternateContent>
          <mc:Choice Requires="wps">
            <w:drawing>
              <wp:anchor distT="0" distB="0" distL="114300" distR="114300" simplePos="0" relativeHeight="251659264" behindDoc="0" locked="0" layoutInCell="1" allowOverlap="1" wp14:anchorId="53F277A5" wp14:editId="17E4D11B">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mc:Fallback>
        </mc:AlternateContent>
      </w:r>
    </w:p>
    <w:p w14:paraId="709BC60C" w14:textId="5CC0B7A3" w:rsidR="00A24C63" w:rsidRPr="00F925FF" w:rsidRDefault="00A24C63" w:rsidP="00934BFC">
      <w:pPr>
        <w:rPr>
          <w:rFonts w:cs="Arial"/>
        </w:rPr>
      </w:pPr>
      <w:r w:rsidRPr="00F925FF">
        <w:rPr>
          <w:rFonts w:cs="Arial"/>
        </w:rPr>
        <w:t xml:space="preserve">Note: classes are on </w:t>
      </w:r>
      <w:r w:rsidR="002052D9">
        <w:rPr>
          <w:rFonts w:cs="Arial"/>
        </w:rPr>
        <w:t>Mondays</w:t>
      </w:r>
      <w:r w:rsidRPr="00F925FF">
        <w:rPr>
          <w:rFonts w:cs="Arial"/>
        </w:rPr>
        <w:t xml:space="preserve"> from 2:15-5:30 pm, beginning </w:t>
      </w:r>
      <w:r w:rsidR="002052D9">
        <w:rPr>
          <w:rFonts w:cs="Arial"/>
        </w:rPr>
        <w:t>Monday</w:t>
      </w:r>
      <w:r w:rsidRPr="00F925FF">
        <w:rPr>
          <w:rFonts w:cs="Arial"/>
        </w:rPr>
        <w:t xml:space="preserve">, </w:t>
      </w:r>
      <w:r w:rsidR="002052D9">
        <w:rPr>
          <w:rFonts w:cs="Arial"/>
        </w:rPr>
        <w:t>March 30</w:t>
      </w:r>
      <w:r w:rsidR="002052D9" w:rsidRPr="002052D9">
        <w:rPr>
          <w:rFonts w:cs="Arial"/>
          <w:vertAlign w:val="superscript"/>
        </w:rPr>
        <w:t>th</w:t>
      </w:r>
      <w:r w:rsidR="002052D9">
        <w:rPr>
          <w:rFonts w:cs="Arial"/>
        </w:rPr>
        <w:t xml:space="preserve">, </w:t>
      </w:r>
      <w:r w:rsidRPr="00F925FF">
        <w:rPr>
          <w:rFonts w:cs="Arial"/>
        </w:rPr>
        <w:t xml:space="preserve">with one class on Friday </w:t>
      </w:r>
      <w:r w:rsidR="002052D9">
        <w:rPr>
          <w:rFonts w:cs="Arial"/>
        </w:rPr>
        <w:t>April 10</w:t>
      </w:r>
      <w:r w:rsidR="0066317E" w:rsidRPr="00F925FF">
        <w:rPr>
          <w:rFonts w:cs="Arial"/>
          <w:vertAlign w:val="superscript"/>
        </w:rPr>
        <w:t>th</w:t>
      </w:r>
      <w:r w:rsidRPr="00F925FF">
        <w:rPr>
          <w:rFonts w:cs="Arial"/>
        </w:rPr>
        <w:t xml:space="preserve"> from 10:45 am – 2:00 pm.</w:t>
      </w:r>
    </w:p>
    <w:p w14:paraId="23E4F4A7" w14:textId="77777777" w:rsidR="0066317E" w:rsidRPr="00F925FF" w:rsidRDefault="0066317E" w:rsidP="00934BFC">
      <w:pPr>
        <w:rPr>
          <w:rFonts w:cs="Arial"/>
          <w:b/>
        </w:rPr>
      </w:pPr>
    </w:p>
    <w:p w14:paraId="28AC1F9F" w14:textId="77777777" w:rsidR="00934BFC" w:rsidRPr="00F925FF" w:rsidRDefault="00934BFC" w:rsidP="00934BFC">
      <w:pPr>
        <w:rPr>
          <w:rFonts w:cs="Arial"/>
          <w:b/>
        </w:rPr>
      </w:pPr>
      <w:r w:rsidRPr="00F925FF">
        <w:rPr>
          <w:rFonts w:cs="Arial"/>
          <w:b/>
        </w:rPr>
        <w:t>REQUIRED COURSE MATERIAL</w:t>
      </w:r>
    </w:p>
    <w:p w14:paraId="0B24FF52" w14:textId="1BD70B9B" w:rsidR="0066317E" w:rsidRPr="00F925FF" w:rsidRDefault="0066317E" w:rsidP="00934BFC">
      <w:pPr>
        <w:rPr>
          <w:rFonts w:cs="Arial"/>
        </w:rPr>
      </w:pPr>
      <w:r w:rsidRPr="00F925FF">
        <w:rPr>
          <w:rFonts w:cs="Arial"/>
        </w:rPr>
        <w:t>The Impact Investing Seminar utilizes the following cases, articles and background readings:</w:t>
      </w:r>
    </w:p>
    <w:p w14:paraId="77079DBA" w14:textId="440FEA2E" w:rsidR="0066317E" w:rsidRPr="00F925FF" w:rsidRDefault="0066317E" w:rsidP="0066317E">
      <w:pPr>
        <w:pStyle w:val="ListParagraph"/>
        <w:ind w:left="0" w:firstLine="360"/>
        <w:rPr>
          <w:rFonts w:cs="Arial"/>
          <w:color w:val="000000"/>
          <w:shd w:val="clear" w:color="auto" w:fill="FFFFFF"/>
        </w:rPr>
      </w:pPr>
      <w:r w:rsidRPr="00F925FF">
        <w:rPr>
          <w:rFonts w:cs="Arial"/>
        </w:rPr>
        <w:t xml:space="preserve">The Promise of Impact Investing </w:t>
      </w:r>
      <w:r w:rsidR="00431291">
        <w:rPr>
          <w:rFonts w:cs="Arial"/>
        </w:rPr>
        <w:t xml:space="preserve">&amp; </w:t>
      </w:r>
      <w:r w:rsidR="00F95B22">
        <w:rPr>
          <w:rFonts w:cs="Arial"/>
        </w:rPr>
        <w:t>Capital Markets</w:t>
      </w:r>
    </w:p>
    <w:p w14:paraId="1FFC7EC3" w14:textId="60AE1624" w:rsidR="0066317E" w:rsidRPr="00431291" w:rsidRDefault="0066317E" w:rsidP="0066317E">
      <w:pPr>
        <w:pStyle w:val="ListParagraph"/>
        <w:numPr>
          <w:ilvl w:val="0"/>
          <w:numId w:val="28"/>
        </w:numPr>
        <w:rPr>
          <w:rFonts w:cs="Arial"/>
          <w:color w:val="000000"/>
          <w:shd w:val="clear" w:color="auto" w:fill="FFFFFF"/>
        </w:rPr>
      </w:pPr>
      <w:r w:rsidRPr="00F925FF">
        <w:rPr>
          <w:rFonts w:cs="Arial"/>
        </w:rPr>
        <w:t>How Financial Innovation Can Save The World</w:t>
      </w:r>
    </w:p>
    <w:p w14:paraId="4F602C37" w14:textId="3A217241" w:rsidR="00431291" w:rsidRPr="00431291" w:rsidRDefault="00431291" w:rsidP="0066317E">
      <w:pPr>
        <w:pStyle w:val="ListParagraph"/>
        <w:numPr>
          <w:ilvl w:val="0"/>
          <w:numId w:val="28"/>
        </w:numPr>
        <w:rPr>
          <w:rFonts w:cs="Arial"/>
          <w:color w:val="000000"/>
          <w:shd w:val="clear" w:color="auto" w:fill="FFFFFF"/>
        </w:rPr>
      </w:pPr>
      <w:r>
        <w:rPr>
          <w:rFonts w:cs="Arial"/>
        </w:rPr>
        <w:t>Social Finance Inc.</w:t>
      </w:r>
    </w:p>
    <w:p w14:paraId="378D1312" w14:textId="302903DA" w:rsidR="00431291" w:rsidRPr="00F925FF" w:rsidRDefault="00431291" w:rsidP="0066317E">
      <w:pPr>
        <w:pStyle w:val="ListParagraph"/>
        <w:numPr>
          <w:ilvl w:val="0"/>
          <w:numId w:val="28"/>
        </w:numPr>
        <w:rPr>
          <w:rFonts w:cs="Arial"/>
          <w:color w:val="000000"/>
          <w:shd w:val="clear" w:color="auto" w:fill="FFFFFF"/>
        </w:rPr>
      </w:pPr>
      <w:r>
        <w:rPr>
          <w:rFonts w:cs="Arial"/>
        </w:rPr>
        <w:t>Green bonds</w:t>
      </w:r>
    </w:p>
    <w:p w14:paraId="324C9D6D" w14:textId="77777777" w:rsidR="00F925FF" w:rsidRPr="00F925FF" w:rsidRDefault="00F925FF" w:rsidP="00F925FF">
      <w:pPr>
        <w:pStyle w:val="ListParagraph"/>
        <w:ind w:left="0" w:firstLine="360"/>
        <w:rPr>
          <w:rFonts w:cs="Arial"/>
        </w:rPr>
      </w:pPr>
      <w:r w:rsidRPr="00F925FF">
        <w:rPr>
          <w:rFonts w:cs="Arial"/>
        </w:rPr>
        <w:t>Venture Capital in Developing Countries</w:t>
      </w:r>
    </w:p>
    <w:p w14:paraId="404030F2" w14:textId="35018634" w:rsidR="00F925FF" w:rsidRPr="00F925FF" w:rsidRDefault="00F925FF" w:rsidP="00F925FF">
      <w:pPr>
        <w:pStyle w:val="ListParagraph"/>
        <w:numPr>
          <w:ilvl w:val="0"/>
          <w:numId w:val="31"/>
        </w:numPr>
        <w:rPr>
          <w:rFonts w:cs="Arial"/>
        </w:rPr>
      </w:pPr>
      <w:r w:rsidRPr="00F925FF">
        <w:rPr>
          <w:rFonts w:cs="Arial"/>
        </w:rPr>
        <w:t>Acumen Fund: Me</w:t>
      </w:r>
      <w:r w:rsidR="00F95B22">
        <w:rPr>
          <w:rFonts w:cs="Arial"/>
        </w:rPr>
        <w:t xml:space="preserve">asurement in Impact Investing </w:t>
      </w:r>
    </w:p>
    <w:p w14:paraId="79A27F4A" w14:textId="77777777" w:rsidR="00F925FF" w:rsidRPr="00F925FF" w:rsidRDefault="00F925FF" w:rsidP="00F925FF">
      <w:pPr>
        <w:pStyle w:val="ListParagraph"/>
        <w:numPr>
          <w:ilvl w:val="0"/>
          <w:numId w:val="31"/>
        </w:numPr>
        <w:rPr>
          <w:rFonts w:cs="Arial"/>
        </w:rPr>
      </w:pPr>
      <w:r w:rsidRPr="00F925FF">
        <w:rPr>
          <w:rFonts w:cs="Arial"/>
        </w:rPr>
        <w:t>Clean Sweep (SSIR)</w:t>
      </w:r>
    </w:p>
    <w:p w14:paraId="69FA2FBE" w14:textId="77777777" w:rsidR="00F925FF" w:rsidRPr="00F925FF" w:rsidRDefault="00F925FF" w:rsidP="00F925FF">
      <w:pPr>
        <w:pStyle w:val="ListParagraph"/>
        <w:numPr>
          <w:ilvl w:val="0"/>
          <w:numId w:val="31"/>
        </w:numPr>
        <w:rPr>
          <w:rFonts w:cs="Arial"/>
        </w:rPr>
      </w:pPr>
      <w:proofErr w:type="spellStart"/>
      <w:r w:rsidRPr="00F925FF">
        <w:rPr>
          <w:rFonts w:cs="Arial"/>
        </w:rPr>
        <w:t>E+Co</w:t>
      </w:r>
      <w:proofErr w:type="spellEnd"/>
      <w:r w:rsidRPr="00F925FF">
        <w:rPr>
          <w:rFonts w:cs="Arial"/>
        </w:rPr>
        <w:t>: A View from the Boardroom</w:t>
      </w:r>
    </w:p>
    <w:p w14:paraId="15905742" w14:textId="4F992432" w:rsidR="0066317E" w:rsidRPr="00F925FF" w:rsidRDefault="0066317E" w:rsidP="0066317E">
      <w:pPr>
        <w:pStyle w:val="ListParagraph"/>
        <w:ind w:left="0" w:firstLine="360"/>
        <w:rPr>
          <w:rFonts w:cs="Arial"/>
        </w:rPr>
      </w:pPr>
      <w:r w:rsidRPr="00F925FF">
        <w:rPr>
          <w:rFonts w:cs="Arial"/>
        </w:rPr>
        <w:t xml:space="preserve">Private Equity in Developing Countries </w:t>
      </w:r>
    </w:p>
    <w:p w14:paraId="73119A9F" w14:textId="77777777" w:rsidR="0066317E" w:rsidRPr="00F925FF" w:rsidRDefault="0066317E" w:rsidP="0066317E">
      <w:pPr>
        <w:pStyle w:val="ListParagraph"/>
        <w:numPr>
          <w:ilvl w:val="0"/>
          <w:numId w:val="30"/>
        </w:numPr>
        <w:rPr>
          <w:rFonts w:cs="Arial"/>
        </w:rPr>
      </w:pPr>
      <w:r w:rsidRPr="00F925FF">
        <w:rPr>
          <w:rFonts w:cs="Arial"/>
        </w:rPr>
        <w:t>Business Basics at the Base of the Pyramid (HBR)</w:t>
      </w:r>
    </w:p>
    <w:p w14:paraId="12540EBE" w14:textId="0D9C6148" w:rsidR="0066317E" w:rsidRPr="00F925FF" w:rsidRDefault="0066317E" w:rsidP="0066317E">
      <w:pPr>
        <w:pStyle w:val="ListParagraph"/>
        <w:numPr>
          <w:ilvl w:val="0"/>
          <w:numId w:val="30"/>
        </w:numPr>
        <w:rPr>
          <w:rFonts w:cs="Arial"/>
        </w:rPr>
      </w:pPr>
      <w:r w:rsidRPr="00F925FF">
        <w:rPr>
          <w:rFonts w:cs="Arial"/>
        </w:rPr>
        <w:t xml:space="preserve">SKS Microfinance </w:t>
      </w:r>
    </w:p>
    <w:p w14:paraId="79744AD6" w14:textId="77777777" w:rsidR="00F925FF" w:rsidRPr="00F925FF" w:rsidRDefault="00F925FF" w:rsidP="00F925FF">
      <w:pPr>
        <w:pStyle w:val="ListParagraph"/>
        <w:ind w:left="0" w:firstLine="360"/>
        <w:rPr>
          <w:rFonts w:cs="Arial"/>
        </w:rPr>
      </w:pPr>
      <w:r w:rsidRPr="00F925FF">
        <w:rPr>
          <w:rFonts w:cs="Arial"/>
        </w:rPr>
        <w:t>Private Equity in the US</w:t>
      </w:r>
    </w:p>
    <w:p w14:paraId="5402E74B" w14:textId="77777777" w:rsidR="00F925FF" w:rsidRDefault="00F925FF" w:rsidP="00F925FF">
      <w:pPr>
        <w:pStyle w:val="ListParagraph"/>
        <w:numPr>
          <w:ilvl w:val="0"/>
          <w:numId w:val="33"/>
        </w:numPr>
        <w:rPr>
          <w:rFonts w:cs="Arial"/>
        </w:rPr>
      </w:pPr>
      <w:r w:rsidRPr="00F925FF">
        <w:rPr>
          <w:rFonts w:cs="Arial"/>
        </w:rPr>
        <w:t xml:space="preserve">Good Capital and Better World Books A </w:t>
      </w:r>
    </w:p>
    <w:p w14:paraId="7D67EC60" w14:textId="0E701D83" w:rsidR="00F925FF" w:rsidRPr="00F925FF" w:rsidRDefault="00F925FF" w:rsidP="00F925FF">
      <w:pPr>
        <w:pStyle w:val="ListParagraph"/>
        <w:numPr>
          <w:ilvl w:val="0"/>
          <w:numId w:val="33"/>
        </w:numPr>
        <w:rPr>
          <w:rFonts w:cs="Arial"/>
        </w:rPr>
      </w:pPr>
      <w:r w:rsidRPr="00F925FF">
        <w:rPr>
          <w:rFonts w:cs="Arial"/>
        </w:rPr>
        <w:t>PCV and Galaxy Desserts</w:t>
      </w:r>
    </w:p>
    <w:p w14:paraId="1CEFD919" w14:textId="2C59881F" w:rsidR="0066317E" w:rsidRPr="00F925FF" w:rsidRDefault="00431291" w:rsidP="0066317E">
      <w:pPr>
        <w:pStyle w:val="ListParagraph"/>
        <w:ind w:left="0" w:firstLine="360"/>
        <w:rPr>
          <w:rFonts w:cs="Arial"/>
        </w:rPr>
      </w:pPr>
      <w:r>
        <w:rPr>
          <w:rFonts w:cs="Arial"/>
        </w:rPr>
        <w:t xml:space="preserve">Short-Term </w:t>
      </w:r>
      <w:r w:rsidR="00F95B22">
        <w:rPr>
          <w:rFonts w:cs="Arial"/>
        </w:rPr>
        <w:t>Debt Products in the US</w:t>
      </w:r>
    </w:p>
    <w:p w14:paraId="69FF47E8" w14:textId="4A732913" w:rsidR="00431291" w:rsidRDefault="00431291" w:rsidP="0066317E">
      <w:pPr>
        <w:pStyle w:val="ListParagraph"/>
        <w:numPr>
          <w:ilvl w:val="0"/>
          <w:numId w:val="32"/>
        </w:numPr>
        <w:spacing w:after="0"/>
        <w:rPr>
          <w:rFonts w:cs="Arial"/>
        </w:rPr>
      </w:pPr>
      <w:proofErr w:type="spellStart"/>
      <w:r>
        <w:rPr>
          <w:rFonts w:cs="Arial"/>
        </w:rPr>
        <w:t>EasyPay</w:t>
      </w:r>
      <w:proofErr w:type="spellEnd"/>
      <w:r>
        <w:rPr>
          <w:rFonts w:cs="Arial"/>
        </w:rPr>
        <w:t xml:space="preserve">: An Alternative Loan for the </w:t>
      </w:r>
      <w:proofErr w:type="spellStart"/>
      <w:r>
        <w:rPr>
          <w:rFonts w:cs="Arial"/>
        </w:rPr>
        <w:t>Underbanked</w:t>
      </w:r>
      <w:proofErr w:type="spellEnd"/>
    </w:p>
    <w:p w14:paraId="4533683F" w14:textId="4558B8BE" w:rsidR="00F925FF" w:rsidRPr="00F925FF" w:rsidRDefault="00F925FF" w:rsidP="00F925FF">
      <w:pPr>
        <w:pStyle w:val="ListParagraph"/>
        <w:ind w:left="0" w:firstLine="360"/>
        <w:rPr>
          <w:rFonts w:cs="Arial"/>
        </w:rPr>
      </w:pPr>
      <w:r w:rsidRPr="00F925FF">
        <w:rPr>
          <w:rFonts w:cs="Arial"/>
        </w:rPr>
        <w:t>Real Assets</w:t>
      </w:r>
    </w:p>
    <w:p w14:paraId="60330529" w14:textId="56D0907C" w:rsidR="00F925FF" w:rsidRPr="00F925FF" w:rsidRDefault="00431291" w:rsidP="00F925FF">
      <w:pPr>
        <w:pStyle w:val="ListParagraph"/>
        <w:numPr>
          <w:ilvl w:val="0"/>
          <w:numId w:val="29"/>
        </w:numPr>
        <w:spacing w:after="0"/>
        <w:rPr>
          <w:rFonts w:cs="Arial"/>
        </w:rPr>
      </w:pPr>
      <w:r>
        <w:rPr>
          <w:rFonts w:cs="Arial"/>
        </w:rPr>
        <w:t>Canyon-Agassi Investing in Charter Schools</w:t>
      </w:r>
    </w:p>
    <w:p w14:paraId="2C65E902" w14:textId="36210391" w:rsidR="00E97B6B" w:rsidRDefault="00431291" w:rsidP="00A10BBA">
      <w:pPr>
        <w:pStyle w:val="ListParagraph"/>
        <w:numPr>
          <w:ilvl w:val="0"/>
          <w:numId w:val="29"/>
        </w:numPr>
        <w:spacing w:after="0"/>
        <w:rPr>
          <w:rFonts w:cs="Arial"/>
        </w:rPr>
      </w:pPr>
      <w:proofErr w:type="spellStart"/>
      <w:r>
        <w:rPr>
          <w:rFonts w:cs="Arial"/>
        </w:rPr>
        <w:t>EcoSystem</w:t>
      </w:r>
      <w:proofErr w:type="spellEnd"/>
      <w:r>
        <w:rPr>
          <w:rFonts w:cs="Arial"/>
        </w:rPr>
        <w:t xml:space="preserve"> Investment Partners Raises Conservation Fund</w:t>
      </w:r>
    </w:p>
    <w:p w14:paraId="49A3B6F7" w14:textId="77777777" w:rsidR="00A10BBA" w:rsidRPr="00A10BBA" w:rsidRDefault="00A10BBA" w:rsidP="00A10BBA">
      <w:pPr>
        <w:spacing w:after="0"/>
        <w:ind w:left="720"/>
        <w:rPr>
          <w:rFonts w:cs="Arial"/>
        </w:rPr>
      </w:pPr>
    </w:p>
    <w:p w14:paraId="3C0CB446" w14:textId="77777777" w:rsidR="00934BFC" w:rsidRPr="00F925FF" w:rsidRDefault="00934BFC" w:rsidP="00934BFC">
      <w:pPr>
        <w:rPr>
          <w:rFonts w:cs="Arial"/>
          <w:b/>
        </w:rPr>
      </w:pPr>
      <w:r w:rsidRPr="00F925FF">
        <w:rPr>
          <w:rFonts w:cs="Arial"/>
          <w:b/>
        </w:rPr>
        <w:lastRenderedPageBreak/>
        <w:t>REQUIRED PREREQUISITES AND CONNECTION TO THE CORE</w:t>
      </w:r>
    </w:p>
    <w:p w14:paraId="4E6CAD42" w14:textId="77777777" w:rsidR="004E2EB8" w:rsidRPr="00F925FF" w:rsidRDefault="00A03C4F" w:rsidP="00A03C4F">
      <w:pPr>
        <w:rPr>
          <w:rFonts w:cs="Arial"/>
        </w:rPr>
      </w:pPr>
      <w:r w:rsidRPr="00DB1B15">
        <w:rPr>
          <w:rFonts w:cs="Arial"/>
        </w:rPr>
        <w:t xml:space="preserve">Students must have completed or be concurrently enrolled in </w:t>
      </w:r>
      <w:r w:rsidR="00FF642F" w:rsidRPr="00DB1B15">
        <w:rPr>
          <w:rFonts w:cs="Arial"/>
        </w:rPr>
        <w:t>B8306</w:t>
      </w:r>
      <w:r w:rsidRPr="00DB1B15">
        <w:rPr>
          <w:rFonts w:cs="Arial"/>
        </w:rPr>
        <w:t xml:space="preserve"> - Capital markets and investments.</w:t>
      </w:r>
      <w:r w:rsidRPr="00F925FF">
        <w:rPr>
          <w:rFonts w:cs="Arial"/>
        </w:rPr>
        <w:t xml:space="preserve"> </w:t>
      </w:r>
    </w:p>
    <w:p w14:paraId="3A3F8FEC" w14:textId="77777777" w:rsidR="00A03C4F" w:rsidRPr="00F925FF" w:rsidRDefault="00A03C4F" w:rsidP="00A03C4F">
      <w:pPr>
        <w:rPr>
          <w:rFonts w:cs="Arial"/>
        </w:rPr>
      </w:pPr>
      <w:r w:rsidRPr="00F925FF">
        <w:rPr>
          <w:rFonts w:cs="Arial"/>
        </w:rPr>
        <w:t>The 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573C56" w:rsidRPr="00F925FF" w14:paraId="1214A308" w14:textId="77777777" w:rsidTr="00E3533D">
        <w:tc>
          <w:tcPr>
            <w:tcW w:w="2898" w:type="dxa"/>
          </w:tcPr>
          <w:p w14:paraId="33812D7F" w14:textId="77777777" w:rsidR="00573C56" w:rsidRPr="00F925FF" w:rsidRDefault="00573C56" w:rsidP="00E3533D">
            <w:pPr>
              <w:rPr>
                <w:rFonts w:cs="Arial"/>
                <w:b/>
              </w:rPr>
            </w:pPr>
            <w:r w:rsidRPr="00F925FF">
              <w:rPr>
                <w:rFonts w:cs="Arial"/>
                <w:b/>
              </w:rPr>
              <w:t>Core Course</w:t>
            </w:r>
          </w:p>
        </w:tc>
        <w:tc>
          <w:tcPr>
            <w:tcW w:w="6678" w:type="dxa"/>
          </w:tcPr>
          <w:p w14:paraId="7DBB3607" w14:textId="77777777" w:rsidR="00573C56" w:rsidRPr="00F925FF" w:rsidRDefault="00573C56" w:rsidP="00E3533D">
            <w:pPr>
              <w:rPr>
                <w:rFonts w:cs="Arial"/>
                <w:b/>
              </w:rPr>
            </w:pPr>
            <w:r w:rsidRPr="00F925FF">
              <w:rPr>
                <w:rFonts w:cs="Arial"/>
                <w:b/>
              </w:rPr>
              <w:t>Connection with Core</w:t>
            </w:r>
          </w:p>
        </w:tc>
      </w:tr>
      <w:tr w:rsidR="00A03C4F" w:rsidRPr="00F925FF" w14:paraId="1E7494FE" w14:textId="77777777" w:rsidTr="00E3533D">
        <w:tc>
          <w:tcPr>
            <w:tcW w:w="2898" w:type="dxa"/>
          </w:tcPr>
          <w:p w14:paraId="3CBF2061" w14:textId="77777777" w:rsidR="00A03C4F" w:rsidRPr="00F925FF" w:rsidRDefault="00A03C4F" w:rsidP="00E3533D">
            <w:pPr>
              <w:rPr>
                <w:rFonts w:cs="Arial"/>
              </w:rPr>
            </w:pPr>
            <w:r w:rsidRPr="00F925FF">
              <w:rPr>
                <w:rFonts w:cs="Arial"/>
              </w:rPr>
              <w:t>Corporate Finance</w:t>
            </w:r>
          </w:p>
        </w:tc>
        <w:tc>
          <w:tcPr>
            <w:tcW w:w="6678" w:type="dxa"/>
          </w:tcPr>
          <w:p w14:paraId="0B4A051B" w14:textId="77777777" w:rsidR="00A03C4F" w:rsidRPr="00F925FF" w:rsidRDefault="00A03C4F" w:rsidP="00A03C4F">
            <w:pPr>
              <w:pStyle w:val="ListParagraph"/>
              <w:numPr>
                <w:ilvl w:val="0"/>
                <w:numId w:val="1"/>
              </w:numPr>
              <w:rPr>
                <w:rFonts w:cs="Arial"/>
              </w:rPr>
            </w:pPr>
            <w:r w:rsidRPr="00F925FF">
              <w:rPr>
                <w:rFonts w:cs="Arial"/>
              </w:rPr>
              <w:t>Time value of money</w:t>
            </w:r>
          </w:p>
          <w:p w14:paraId="31B28472" w14:textId="77777777" w:rsidR="00A03C4F" w:rsidRPr="00F925FF" w:rsidRDefault="00A03C4F" w:rsidP="00A03C4F">
            <w:pPr>
              <w:pStyle w:val="ListParagraph"/>
              <w:numPr>
                <w:ilvl w:val="0"/>
                <w:numId w:val="1"/>
              </w:numPr>
              <w:rPr>
                <w:rFonts w:cs="Arial"/>
              </w:rPr>
            </w:pPr>
            <w:r w:rsidRPr="00F925FF">
              <w:rPr>
                <w:rFonts w:cs="Arial"/>
              </w:rPr>
              <w:t>Efficient markets</w:t>
            </w:r>
          </w:p>
          <w:p w14:paraId="338F6077" w14:textId="63A9F04E" w:rsidR="00A03C4F" w:rsidRPr="00F925FF" w:rsidRDefault="00A03C4F" w:rsidP="0066317E">
            <w:pPr>
              <w:pStyle w:val="ListParagraph"/>
              <w:numPr>
                <w:ilvl w:val="0"/>
                <w:numId w:val="1"/>
              </w:numPr>
              <w:rPr>
                <w:rFonts w:cs="Arial"/>
              </w:rPr>
            </w:pPr>
            <w:r w:rsidRPr="00F925FF">
              <w:rPr>
                <w:rFonts w:cs="Arial"/>
              </w:rPr>
              <w:t>Risk</w:t>
            </w:r>
          </w:p>
        </w:tc>
      </w:tr>
      <w:tr w:rsidR="00A03C4F" w:rsidRPr="00F925FF" w14:paraId="50232626" w14:textId="77777777" w:rsidTr="00E3533D">
        <w:tc>
          <w:tcPr>
            <w:tcW w:w="2898" w:type="dxa"/>
          </w:tcPr>
          <w:p w14:paraId="79848CFE" w14:textId="77777777" w:rsidR="00A03C4F" w:rsidRPr="00F925FF" w:rsidRDefault="00A03C4F" w:rsidP="00E3533D">
            <w:pPr>
              <w:rPr>
                <w:rFonts w:cs="Arial"/>
              </w:rPr>
            </w:pPr>
            <w:r w:rsidRPr="00F925FF">
              <w:rPr>
                <w:rFonts w:cs="Arial"/>
              </w:rPr>
              <w:t>Decision Models</w:t>
            </w:r>
          </w:p>
        </w:tc>
        <w:tc>
          <w:tcPr>
            <w:tcW w:w="6678" w:type="dxa"/>
          </w:tcPr>
          <w:p w14:paraId="6D21D95E" w14:textId="77777777" w:rsidR="00A03C4F" w:rsidRPr="00F925FF" w:rsidRDefault="00A03C4F" w:rsidP="00A03C4F">
            <w:pPr>
              <w:pStyle w:val="ListParagraph"/>
              <w:numPr>
                <w:ilvl w:val="0"/>
                <w:numId w:val="2"/>
              </w:numPr>
              <w:rPr>
                <w:rFonts w:cs="Arial"/>
              </w:rPr>
            </w:pPr>
            <w:r w:rsidRPr="00F925FF">
              <w:rPr>
                <w:rFonts w:cs="Arial"/>
              </w:rPr>
              <w:t>Use of analysis in decision making</w:t>
            </w:r>
          </w:p>
          <w:p w14:paraId="09EFD09F" w14:textId="432E1DF0" w:rsidR="00A03C4F" w:rsidRPr="00F925FF" w:rsidRDefault="00A03C4F" w:rsidP="0066317E">
            <w:pPr>
              <w:pStyle w:val="ListParagraph"/>
              <w:numPr>
                <w:ilvl w:val="0"/>
                <w:numId w:val="2"/>
              </w:numPr>
              <w:rPr>
                <w:rFonts w:cs="Arial"/>
              </w:rPr>
            </w:pPr>
            <w:r w:rsidRPr="00F925FF">
              <w:rPr>
                <w:rFonts w:cs="Arial"/>
              </w:rPr>
              <w:t>Decision making under uncertainty and risk</w:t>
            </w:r>
          </w:p>
        </w:tc>
      </w:tr>
      <w:tr w:rsidR="00A03C4F" w:rsidRPr="00F925FF" w14:paraId="107B3CEF" w14:textId="77777777" w:rsidTr="00E3533D">
        <w:tc>
          <w:tcPr>
            <w:tcW w:w="2898" w:type="dxa"/>
          </w:tcPr>
          <w:p w14:paraId="6F7B5718" w14:textId="77777777" w:rsidR="00A03C4F" w:rsidRPr="00F925FF" w:rsidRDefault="00A03C4F" w:rsidP="00E3533D">
            <w:pPr>
              <w:rPr>
                <w:rFonts w:cs="Arial"/>
              </w:rPr>
            </w:pPr>
            <w:r w:rsidRPr="00F925FF">
              <w:rPr>
                <w:rFonts w:cs="Arial"/>
              </w:rPr>
              <w:t>Global Economic Environment I</w:t>
            </w:r>
          </w:p>
        </w:tc>
        <w:tc>
          <w:tcPr>
            <w:tcW w:w="6678" w:type="dxa"/>
          </w:tcPr>
          <w:p w14:paraId="69C92502" w14:textId="77777777" w:rsidR="00A03C4F" w:rsidRPr="00F925FF" w:rsidRDefault="00A03C4F" w:rsidP="00A03C4F">
            <w:pPr>
              <w:pStyle w:val="ListParagraph"/>
              <w:numPr>
                <w:ilvl w:val="0"/>
                <w:numId w:val="3"/>
              </w:numPr>
              <w:rPr>
                <w:rFonts w:cs="Arial"/>
              </w:rPr>
            </w:pPr>
            <w:r w:rsidRPr="00F925FF">
              <w:rPr>
                <w:rFonts w:cs="Arial"/>
              </w:rPr>
              <w:t>Role of financial markets in the economy</w:t>
            </w:r>
          </w:p>
          <w:p w14:paraId="649DB024" w14:textId="7D1A2004" w:rsidR="00A03C4F" w:rsidRPr="00F925FF" w:rsidRDefault="0066317E" w:rsidP="0066317E">
            <w:pPr>
              <w:pStyle w:val="ListParagraph"/>
              <w:numPr>
                <w:ilvl w:val="0"/>
                <w:numId w:val="3"/>
              </w:numPr>
              <w:rPr>
                <w:rFonts w:cs="Arial"/>
              </w:rPr>
            </w:pPr>
            <w:r w:rsidRPr="00F925FF">
              <w:rPr>
                <w:rFonts w:cs="Arial"/>
              </w:rPr>
              <w:t>Exchange rates</w:t>
            </w:r>
          </w:p>
        </w:tc>
      </w:tr>
      <w:tr w:rsidR="00A03C4F" w:rsidRPr="00F925FF" w14:paraId="7DAC541B" w14:textId="77777777" w:rsidTr="00E3533D">
        <w:tc>
          <w:tcPr>
            <w:tcW w:w="2898" w:type="dxa"/>
          </w:tcPr>
          <w:p w14:paraId="62DD46DB" w14:textId="77777777" w:rsidR="00A03C4F" w:rsidRPr="00F925FF" w:rsidRDefault="00A03C4F" w:rsidP="00E3533D">
            <w:pPr>
              <w:rPr>
                <w:rFonts w:cs="Arial"/>
              </w:rPr>
            </w:pPr>
            <w:r w:rsidRPr="00F925FF">
              <w:rPr>
                <w:rFonts w:cs="Arial"/>
              </w:rPr>
              <w:t>Managerial Economics</w:t>
            </w:r>
          </w:p>
        </w:tc>
        <w:tc>
          <w:tcPr>
            <w:tcW w:w="6678" w:type="dxa"/>
          </w:tcPr>
          <w:p w14:paraId="5DF43BF0" w14:textId="77777777" w:rsidR="00A03C4F" w:rsidRPr="00F925FF" w:rsidRDefault="00A03C4F" w:rsidP="00A03C4F">
            <w:pPr>
              <w:pStyle w:val="ListParagraph"/>
              <w:numPr>
                <w:ilvl w:val="0"/>
                <w:numId w:val="4"/>
              </w:numPr>
              <w:rPr>
                <w:rFonts w:cs="Arial"/>
              </w:rPr>
            </w:pPr>
            <w:r w:rsidRPr="00F925FF">
              <w:rPr>
                <w:rFonts w:cs="Arial"/>
              </w:rPr>
              <w:t>Analyzing complex decision making under uncertainty</w:t>
            </w:r>
          </w:p>
        </w:tc>
      </w:tr>
    </w:tbl>
    <w:p w14:paraId="0747D839" w14:textId="0C12B0D1" w:rsidR="00934BFC" w:rsidRPr="00F925FF" w:rsidRDefault="00A03C4F" w:rsidP="00934BFC">
      <w:pPr>
        <w:rPr>
          <w:rFonts w:cs="Arial"/>
        </w:rPr>
      </w:pPr>
      <w:r w:rsidRPr="00F925FF">
        <w:rPr>
          <w:rFonts w:cs="Arial"/>
        </w:rPr>
        <w:br/>
      </w:r>
      <w:r w:rsidR="00573C56" w:rsidRPr="00F925FF">
        <w:rPr>
          <w:rFonts w:cs="Arial"/>
        </w:rPr>
        <w:t>Students will be expected to have mastered these concepts and be able to apply them in the course.</w:t>
      </w:r>
    </w:p>
    <w:p w14:paraId="1DE246F5" w14:textId="77777777" w:rsidR="00A10BBA" w:rsidRPr="00C57D07" w:rsidRDefault="00A10BBA" w:rsidP="00A10BBA">
      <w:pPr>
        <w:spacing w:after="0" w:line="240" w:lineRule="auto"/>
        <w:jc w:val="both"/>
        <w:rPr>
          <w:b/>
        </w:rPr>
      </w:pPr>
      <w:r w:rsidRPr="00C57D07">
        <w:rPr>
          <w:rFonts w:cs="Arial"/>
          <w:b/>
          <w:i/>
        </w:rPr>
        <w:t>Students who have previously taken Finance &amp; Sustainability (B8349) will find overlap with this course; approximately 25% of the material is the same.</w:t>
      </w:r>
    </w:p>
    <w:p w14:paraId="44160224" w14:textId="77777777" w:rsidR="004233B9" w:rsidRPr="00F925FF" w:rsidRDefault="004233B9" w:rsidP="00934BFC">
      <w:pPr>
        <w:rPr>
          <w:rFonts w:cs="Arial"/>
        </w:rPr>
      </w:pPr>
    </w:p>
    <w:p w14:paraId="6A3EA9D1" w14:textId="77777777" w:rsidR="00934BFC" w:rsidRPr="00F925FF" w:rsidRDefault="00934BFC" w:rsidP="00934BFC">
      <w:pPr>
        <w:rPr>
          <w:b/>
        </w:rPr>
      </w:pPr>
      <w:r w:rsidRPr="00F925FF">
        <w:rPr>
          <w:b/>
        </w:rPr>
        <w:t>COURSE DESCRIPTION</w:t>
      </w:r>
    </w:p>
    <w:p w14:paraId="134D7001" w14:textId="26D062EE" w:rsidR="00D277DC" w:rsidRPr="00F95B22" w:rsidRDefault="00D277DC" w:rsidP="00D277DC">
      <w:pPr>
        <w:rPr>
          <w:rFonts w:cs="Arial"/>
        </w:rPr>
      </w:pPr>
      <w:r w:rsidRPr="00F925FF">
        <w:rPr>
          <w:rFonts w:cs="Arial"/>
        </w:rPr>
        <w:t xml:space="preserve">This course is intended to provide students with an overview of the range of investing approaches used by impact investors. This will be done through a combination of cases and lectures by the professor, and guest presentations by leading impact investors and thought leaders. The substantive areas covered will include: (1) financial instruments used to fund social enterprises (for-profit, nonprofit and hybrids); (2) the differing financial return and social impact return expectations of impact investors; (3) how investors and investment/wealth managers and advisors structure their impact investments; and (4) strategies used by impact investors to search for impact investing opportunities. As well as investor perspectives, the course will explore the role of financial innovation in </w:t>
      </w:r>
      <w:r w:rsidR="005B1814">
        <w:rPr>
          <w:rFonts w:cs="Arial"/>
        </w:rPr>
        <w:t>the</w:t>
      </w:r>
      <w:r w:rsidRPr="00F925FF">
        <w:rPr>
          <w:rFonts w:cs="Arial"/>
        </w:rPr>
        <w:t xml:space="preserve"> f</w:t>
      </w:r>
      <w:r w:rsidR="005B1814">
        <w:rPr>
          <w:rFonts w:cs="Arial"/>
        </w:rPr>
        <w:t>inancing of</w:t>
      </w:r>
      <w:r w:rsidRPr="00F925FF">
        <w:rPr>
          <w:rFonts w:cs="Arial"/>
        </w:rPr>
        <w:t xml:space="preserve"> social enterprises</w:t>
      </w:r>
      <w:r w:rsidR="005B1814">
        <w:rPr>
          <w:rFonts w:cs="Arial"/>
        </w:rPr>
        <w:t>.</w:t>
      </w:r>
    </w:p>
    <w:p w14:paraId="3272787F" w14:textId="0CC58E3E" w:rsidR="00D277DC" w:rsidRPr="006F006F" w:rsidRDefault="00D277DC" w:rsidP="00D277DC">
      <w:pPr>
        <w:rPr>
          <w:rFonts w:cs="Arial"/>
        </w:rPr>
      </w:pPr>
      <w:r w:rsidRPr="00F95B22">
        <w:rPr>
          <w:rFonts w:cs="Arial"/>
        </w:rPr>
        <w:t>This course is designed around the different types of impact investments</w:t>
      </w:r>
      <w:r w:rsidR="00F95B22" w:rsidRPr="00F95B22">
        <w:rPr>
          <w:rFonts w:cs="Arial"/>
        </w:rPr>
        <w:t xml:space="preserve"> from the perspective of investors</w:t>
      </w:r>
      <w:r w:rsidRPr="00F95B22">
        <w:rPr>
          <w:rFonts w:cs="Arial"/>
        </w:rPr>
        <w:t xml:space="preserve">, and is </w:t>
      </w:r>
      <w:r w:rsidRPr="006F006F">
        <w:rPr>
          <w:rFonts w:cs="Arial"/>
        </w:rPr>
        <w:t xml:space="preserve">composed of </w:t>
      </w:r>
      <w:r w:rsidR="0066317E" w:rsidRPr="006F006F">
        <w:rPr>
          <w:rFonts w:cs="Arial"/>
        </w:rPr>
        <w:t>five</w:t>
      </w:r>
      <w:r w:rsidRPr="006F006F">
        <w:rPr>
          <w:rFonts w:cs="Arial"/>
        </w:rPr>
        <w:t xml:space="preserve"> modules:</w:t>
      </w:r>
    </w:p>
    <w:p w14:paraId="6C857986" w14:textId="27D39B1A" w:rsidR="00D277DC" w:rsidRPr="006F006F" w:rsidRDefault="00D277DC" w:rsidP="00D277DC">
      <w:pPr>
        <w:pStyle w:val="ListParagraph"/>
        <w:numPr>
          <w:ilvl w:val="0"/>
          <w:numId w:val="27"/>
        </w:numPr>
        <w:spacing w:after="0" w:line="240" w:lineRule="auto"/>
        <w:rPr>
          <w:rFonts w:cs="Arial"/>
        </w:rPr>
      </w:pPr>
      <w:r w:rsidRPr="006F006F">
        <w:rPr>
          <w:rFonts w:cs="Arial"/>
          <w:i/>
        </w:rPr>
        <w:t>Introduction to Impact Investing</w:t>
      </w:r>
      <w:r w:rsidRPr="006F006F">
        <w:rPr>
          <w:rFonts w:cs="Arial"/>
        </w:rPr>
        <w:t xml:space="preserve"> </w:t>
      </w:r>
      <w:r w:rsidR="00F95B22" w:rsidRPr="006F006F">
        <w:rPr>
          <w:rFonts w:cs="Arial"/>
          <w:i/>
        </w:rPr>
        <w:t>and Capital Markets</w:t>
      </w:r>
      <w:r w:rsidR="00F95B22" w:rsidRPr="006F006F">
        <w:rPr>
          <w:rFonts w:cs="Arial"/>
        </w:rPr>
        <w:t xml:space="preserve"> </w:t>
      </w:r>
      <w:r w:rsidRPr="006F006F">
        <w:rPr>
          <w:rFonts w:cs="Arial"/>
        </w:rPr>
        <w:t>– overview of the sector and investors</w:t>
      </w:r>
      <w:r w:rsidR="00F95B22" w:rsidRPr="006F006F">
        <w:rPr>
          <w:rFonts w:cs="Arial"/>
        </w:rPr>
        <w:t>, and innovations in capital markets products including social impact bonds and green bonds.</w:t>
      </w:r>
    </w:p>
    <w:p w14:paraId="5793FE44" w14:textId="77777777" w:rsidR="00D277DC" w:rsidRPr="006F006F" w:rsidRDefault="00D277DC" w:rsidP="00D277DC">
      <w:pPr>
        <w:pStyle w:val="ListParagraph"/>
        <w:rPr>
          <w:rFonts w:cs="Arial"/>
        </w:rPr>
      </w:pPr>
    </w:p>
    <w:p w14:paraId="64C5BA5F" w14:textId="5D8929A1" w:rsidR="00F95B22" w:rsidRPr="006F006F" w:rsidRDefault="00F95B22" w:rsidP="00D277DC">
      <w:pPr>
        <w:pStyle w:val="ListParagraph"/>
        <w:numPr>
          <w:ilvl w:val="0"/>
          <w:numId w:val="27"/>
        </w:numPr>
        <w:spacing w:after="0" w:line="240" w:lineRule="auto"/>
        <w:rPr>
          <w:rFonts w:cs="Arial"/>
        </w:rPr>
      </w:pPr>
      <w:r w:rsidRPr="006F006F">
        <w:rPr>
          <w:rFonts w:cs="Arial"/>
          <w:i/>
        </w:rPr>
        <w:t>Short-term debt products</w:t>
      </w:r>
      <w:r w:rsidRPr="006F006F">
        <w:rPr>
          <w:rFonts w:cs="Arial"/>
        </w:rPr>
        <w:t xml:space="preserve"> – cash and short-term debt products designed for impact investors in the U.S.</w:t>
      </w:r>
    </w:p>
    <w:p w14:paraId="108BBF48" w14:textId="77777777" w:rsidR="00F95B22" w:rsidRPr="006F006F" w:rsidRDefault="00F95B22" w:rsidP="00F95B22">
      <w:pPr>
        <w:spacing w:after="0" w:line="240" w:lineRule="auto"/>
        <w:rPr>
          <w:rFonts w:cs="Arial"/>
          <w:i/>
        </w:rPr>
      </w:pPr>
    </w:p>
    <w:p w14:paraId="638E68D1" w14:textId="7F6C08B4" w:rsidR="00D277DC" w:rsidRPr="006F006F" w:rsidRDefault="00D277DC" w:rsidP="00D277DC">
      <w:pPr>
        <w:pStyle w:val="ListParagraph"/>
        <w:numPr>
          <w:ilvl w:val="0"/>
          <w:numId w:val="27"/>
        </w:numPr>
        <w:spacing w:after="0" w:line="240" w:lineRule="auto"/>
        <w:rPr>
          <w:rFonts w:cs="Arial"/>
        </w:rPr>
      </w:pPr>
      <w:r w:rsidRPr="006F006F">
        <w:rPr>
          <w:rFonts w:cs="Arial"/>
          <w:i/>
        </w:rPr>
        <w:t>Venture Capital</w:t>
      </w:r>
      <w:r w:rsidR="00F95B22" w:rsidRPr="006F006F">
        <w:rPr>
          <w:rFonts w:cs="Arial"/>
          <w:i/>
        </w:rPr>
        <w:t xml:space="preserve"> and Private Equity in Developing Countries</w:t>
      </w:r>
      <w:r w:rsidRPr="006F006F">
        <w:rPr>
          <w:rFonts w:cs="Arial"/>
        </w:rPr>
        <w:t xml:space="preserve"> – funds and high net worth investors making early </w:t>
      </w:r>
      <w:r w:rsidR="00F95B22" w:rsidRPr="006F006F">
        <w:rPr>
          <w:rFonts w:cs="Arial"/>
        </w:rPr>
        <w:t xml:space="preserve">and growth </w:t>
      </w:r>
      <w:r w:rsidRPr="006F006F">
        <w:rPr>
          <w:rFonts w:cs="Arial"/>
        </w:rPr>
        <w:t>stage equity investments</w:t>
      </w:r>
      <w:r w:rsidR="00F95B22" w:rsidRPr="006F006F">
        <w:rPr>
          <w:rFonts w:cs="Arial"/>
        </w:rPr>
        <w:t xml:space="preserve"> in social enterprises in developing countries.</w:t>
      </w:r>
    </w:p>
    <w:p w14:paraId="69580C44" w14:textId="77777777" w:rsidR="00D277DC" w:rsidRPr="006F006F" w:rsidRDefault="00D277DC" w:rsidP="00D277DC">
      <w:pPr>
        <w:pStyle w:val="ListParagraph"/>
        <w:rPr>
          <w:rFonts w:cs="Arial"/>
        </w:rPr>
      </w:pPr>
    </w:p>
    <w:p w14:paraId="71DB6D95" w14:textId="751FECA0" w:rsidR="00D277DC" w:rsidRPr="006F006F" w:rsidRDefault="00F95B22" w:rsidP="00D277DC">
      <w:pPr>
        <w:pStyle w:val="ListParagraph"/>
        <w:numPr>
          <w:ilvl w:val="0"/>
          <w:numId w:val="27"/>
        </w:numPr>
        <w:spacing w:after="0" w:line="240" w:lineRule="auto"/>
        <w:rPr>
          <w:rFonts w:cs="Arial"/>
        </w:rPr>
      </w:pPr>
      <w:r w:rsidRPr="006F006F">
        <w:rPr>
          <w:rFonts w:cs="Arial"/>
          <w:i/>
        </w:rPr>
        <w:t xml:space="preserve">Venture Capital and </w:t>
      </w:r>
      <w:r w:rsidR="00D277DC" w:rsidRPr="006F006F">
        <w:rPr>
          <w:rFonts w:cs="Arial"/>
          <w:i/>
        </w:rPr>
        <w:t xml:space="preserve">Private Equity </w:t>
      </w:r>
      <w:r w:rsidRPr="006F006F">
        <w:rPr>
          <w:rFonts w:cs="Arial"/>
          <w:i/>
        </w:rPr>
        <w:t>in the U.S.</w:t>
      </w:r>
      <w:r w:rsidRPr="006F006F">
        <w:rPr>
          <w:rFonts w:cs="Arial"/>
        </w:rPr>
        <w:t xml:space="preserve"> </w:t>
      </w:r>
      <w:r w:rsidR="00D277DC" w:rsidRPr="006F006F">
        <w:rPr>
          <w:rFonts w:cs="Arial"/>
        </w:rPr>
        <w:t xml:space="preserve">– funds </w:t>
      </w:r>
      <w:r w:rsidRPr="006F006F">
        <w:rPr>
          <w:rFonts w:cs="Arial"/>
        </w:rPr>
        <w:t xml:space="preserve">and high net worth investors </w:t>
      </w:r>
      <w:r w:rsidR="00D277DC" w:rsidRPr="006F006F">
        <w:rPr>
          <w:rFonts w:cs="Arial"/>
        </w:rPr>
        <w:t>making</w:t>
      </w:r>
      <w:r w:rsidRPr="006F006F">
        <w:rPr>
          <w:rFonts w:cs="Arial"/>
        </w:rPr>
        <w:t xml:space="preserve"> early and</w:t>
      </w:r>
      <w:r w:rsidR="00D277DC" w:rsidRPr="006F006F">
        <w:rPr>
          <w:rFonts w:cs="Arial"/>
        </w:rPr>
        <w:t xml:space="preserve"> growth stage equity investments</w:t>
      </w:r>
      <w:r w:rsidR="00F925FF" w:rsidRPr="006F006F">
        <w:rPr>
          <w:rFonts w:cs="Arial"/>
        </w:rPr>
        <w:t xml:space="preserve"> in </w:t>
      </w:r>
      <w:r w:rsidRPr="006F006F">
        <w:rPr>
          <w:rFonts w:cs="Arial"/>
        </w:rPr>
        <w:t>social enterprises in t</w:t>
      </w:r>
      <w:r w:rsidR="00F925FF" w:rsidRPr="006F006F">
        <w:rPr>
          <w:rFonts w:cs="Arial"/>
        </w:rPr>
        <w:t>he US.</w:t>
      </w:r>
    </w:p>
    <w:p w14:paraId="1C7DABEE" w14:textId="720EE971" w:rsidR="00F925FF" w:rsidRPr="006F006F" w:rsidRDefault="00D277DC" w:rsidP="00F925FF">
      <w:pPr>
        <w:spacing w:after="0" w:line="240" w:lineRule="auto"/>
        <w:rPr>
          <w:rFonts w:cs="Arial"/>
        </w:rPr>
      </w:pPr>
      <w:r w:rsidRPr="006F006F">
        <w:rPr>
          <w:rFonts w:cs="Arial"/>
        </w:rPr>
        <w:t xml:space="preserve"> </w:t>
      </w:r>
    </w:p>
    <w:p w14:paraId="4B0B16BD" w14:textId="0950F284" w:rsidR="00F925FF" w:rsidRPr="006F006F" w:rsidRDefault="00F925FF" w:rsidP="00D277DC">
      <w:pPr>
        <w:pStyle w:val="ListParagraph"/>
        <w:numPr>
          <w:ilvl w:val="0"/>
          <w:numId w:val="27"/>
        </w:numPr>
        <w:spacing w:after="0" w:line="240" w:lineRule="auto"/>
        <w:rPr>
          <w:rFonts w:cs="Arial"/>
        </w:rPr>
      </w:pPr>
      <w:r w:rsidRPr="006F006F">
        <w:rPr>
          <w:rFonts w:cs="Arial"/>
          <w:i/>
        </w:rPr>
        <w:t>Real Assets</w:t>
      </w:r>
      <w:r w:rsidR="006F006F" w:rsidRPr="006F006F">
        <w:rPr>
          <w:rFonts w:cs="Arial"/>
        </w:rPr>
        <w:t xml:space="preserve"> – impact investors</w:t>
      </w:r>
      <w:r w:rsidRPr="006F006F">
        <w:rPr>
          <w:rFonts w:cs="Arial"/>
        </w:rPr>
        <w:t xml:space="preserve"> in real estate and land conservation.</w:t>
      </w:r>
    </w:p>
    <w:p w14:paraId="05F58F39" w14:textId="77777777" w:rsidR="00540249" w:rsidRPr="00F925FF" w:rsidRDefault="00540249" w:rsidP="00A03C4F">
      <w:pPr>
        <w:rPr>
          <w:b/>
        </w:rPr>
      </w:pPr>
    </w:p>
    <w:p w14:paraId="2FF70CC7" w14:textId="77777777" w:rsidR="00934BFC" w:rsidRPr="00F925FF" w:rsidRDefault="00934BFC" w:rsidP="00A03C4F">
      <w:pPr>
        <w:rPr>
          <w:b/>
        </w:rPr>
      </w:pPr>
      <w:r w:rsidRPr="00F925FF">
        <w:rPr>
          <w:b/>
        </w:rPr>
        <w:t>COURSE OBJECTIVES</w:t>
      </w:r>
    </w:p>
    <w:p w14:paraId="74A92470" w14:textId="10B88EC3" w:rsidR="00A71366" w:rsidRPr="00F925FF" w:rsidRDefault="00D277DC" w:rsidP="001E362D">
      <w:pPr>
        <w:rPr>
          <w:rFonts w:cs="Arial"/>
        </w:rPr>
      </w:pPr>
      <w:r w:rsidRPr="00F925FF">
        <w:rPr>
          <w:rFonts w:cs="Arial"/>
        </w:rPr>
        <w:t xml:space="preserve">This course is designed for both MBA students planning a career in traditional investment management who want to understand the potential impact of their work and for students planning a career in social enterprise want to understand impact investing </w:t>
      </w:r>
      <w:r w:rsidRPr="00F925FF">
        <w:rPr>
          <w:rFonts w:cs="Arial"/>
          <w:i/>
        </w:rPr>
        <w:t>from the perspective of the investor</w:t>
      </w:r>
      <w:r w:rsidRPr="00F925FF">
        <w:rPr>
          <w:rFonts w:cs="Arial"/>
        </w:rPr>
        <w:t xml:space="preserve">. This course does not examine the role of the social entrepreneur, or the process for raising capital from impact investors for a social venture, but focuses solely on the various sources of impact investing capital and the types of investments being made by impact investors.  </w:t>
      </w:r>
    </w:p>
    <w:p w14:paraId="778F1781" w14:textId="77777777" w:rsidR="004E2EB8" w:rsidRPr="00F925FF" w:rsidRDefault="004E2EB8" w:rsidP="00A71366">
      <w:pPr>
        <w:spacing w:after="0"/>
      </w:pPr>
    </w:p>
    <w:p w14:paraId="4785B16A" w14:textId="77777777" w:rsidR="00934BFC" w:rsidRPr="00F925FF" w:rsidRDefault="00934BFC" w:rsidP="00A71366">
      <w:pPr>
        <w:rPr>
          <w:b/>
        </w:rPr>
      </w:pPr>
      <w:r w:rsidRPr="00F925FF">
        <w:rPr>
          <w:b/>
        </w:rPr>
        <w:t>ASSIGNMENTS</w:t>
      </w:r>
    </w:p>
    <w:p w14:paraId="15E95C47" w14:textId="71435920" w:rsidR="004D6393" w:rsidRPr="00F925FF" w:rsidRDefault="00A03C4F" w:rsidP="00A71366">
      <w:r w:rsidRPr="00F925FF">
        <w:t>Students are re</w:t>
      </w:r>
      <w:r w:rsidR="004D6393" w:rsidRPr="00F925FF">
        <w:t>quired to individually prepare 2</w:t>
      </w:r>
      <w:r w:rsidRPr="00F925FF">
        <w:t xml:space="preserve"> case write-ups during the course, each of which is a maximum of one page. </w:t>
      </w:r>
      <w:r w:rsidR="004D6393" w:rsidRPr="00F925FF">
        <w:t>The final exam is a take-home case analysis.</w:t>
      </w:r>
    </w:p>
    <w:p w14:paraId="3FBF1D62" w14:textId="77777777" w:rsidR="00A71366" w:rsidRPr="00F925FF" w:rsidRDefault="00A71366" w:rsidP="00A71366">
      <w:pPr>
        <w:spacing w:after="0"/>
      </w:pPr>
    </w:p>
    <w:p w14:paraId="236DA920" w14:textId="77777777" w:rsidR="00535F4E" w:rsidRPr="00F925FF" w:rsidRDefault="00535F4E" w:rsidP="00A71366">
      <w:pPr>
        <w:rPr>
          <w:b/>
        </w:rPr>
      </w:pPr>
      <w:r w:rsidRPr="00F925FF">
        <w:rPr>
          <w:b/>
        </w:rPr>
        <w:t>METHOD OF EVALUATION</w:t>
      </w:r>
    </w:p>
    <w:p w14:paraId="6FCEC9EF" w14:textId="77777777" w:rsidR="00D277DC" w:rsidRPr="00F925FF" w:rsidRDefault="00D277DC" w:rsidP="00D277DC">
      <w:pPr>
        <w:rPr>
          <w:rFonts w:cs="Arial"/>
        </w:rPr>
      </w:pPr>
      <w:r w:rsidRPr="00F925FF">
        <w:rPr>
          <w:rFonts w:cs="Arial"/>
        </w:rPr>
        <w:t xml:space="preserve">This course will utilize readings, cases and guest speakers.  Each of the classes will begin with a lecture and case discussion led by the professor, followed by a guest speaker. The guest speakers are primarily investors or asset managers from the impact investing sector, providing an opportunity for students to meet industry specialists. This course requires active class participation, and students’ grades will be heavily dependent on the quality of class discussion.  </w:t>
      </w:r>
    </w:p>
    <w:p w14:paraId="40FE0179" w14:textId="756AC747" w:rsidR="00A03C4F" w:rsidRPr="005B1814" w:rsidRDefault="00AA5125" w:rsidP="00A71366">
      <w:pPr>
        <w:rPr>
          <w:rFonts w:cs="Arial"/>
        </w:rPr>
      </w:pPr>
      <w:r w:rsidRPr="00F925FF">
        <w:rPr>
          <w:rFonts w:cs="Arial"/>
        </w:rPr>
        <w:t xml:space="preserve">Grades will be based on class participation, two one-page responses to study questions prepared ahead of the class, and one short end-of-term paper. The paper will be 5 pages (or less) plus exhibits, and will require the student to explain which of the different types of impact investments presented during the course is optimal for reaching the double bottom line goals of an impact investor. </w:t>
      </w:r>
    </w:p>
    <w:tbl>
      <w:tblPr>
        <w:tblStyle w:val="TableGrid"/>
        <w:tblW w:w="0" w:type="auto"/>
        <w:tblLook w:val="04A0" w:firstRow="1" w:lastRow="0" w:firstColumn="1" w:lastColumn="0" w:noHBand="0" w:noVBand="1"/>
      </w:tblPr>
      <w:tblGrid>
        <w:gridCol w:w="2808"/>
        <w:gridCol w:w="2160"/>
      </w:tblGrid>
      <w:tr w:rsidR="00535F4E" w:rsidRPr="00F925FF" w14:paraId="3B9FCFAB" w14:textId="77777777" w:rsidTr="00483ED2">
        <w:tc>
          <w:tcPr>
            <w:tcW w:w="2808" w:type="dxa"/>
          </w:tcPr>
          <w:p w14:paraId="6B8B586B" w14:textId="77777777" w:rsidR="00535F4E" w:rsidRPr="00F925FF" w:rsidRDefault="00483ED2" w:rsidP="00E3533D">
            <w:r w:rsidRPr="00F925FF">
              <w:t>Class participation</w:t>
            </w:r>
          </w:p>
        </w:tc>
        <w:tc>
          <w:tcPr>
            <w:tcW w:w="2160" w:type="dxa"/>
          </w:tcPr>
          <w:p w14:paraId="5BCBFC6D" w14:textId="77777777" w:rsidR="00535F4E" w:rsidRPr="00F925FF" w:rsidRDefault="00483ED2" w:rsidP="00E3533D">
            <w:r w:rsidRPr="00F925FF">
              <w:t>40</w:t>
            </w:r>
            <w:r w:rsidR="00535F4E" w:rsidRPr="00F925FF">
              <w:t>%</w:t>
            </w:r>
          </w:p>
        </w:tc>
      </w:tr>
      <w:tr w:rsidR="00535F4E" w:rsidRPr="00F925FF" w14:paraId="0287FB9D" w14:textId="77777777" w:rsidTr="00483ED2">
        <w:tc>
          <w:tcPr>
            <w:tcW w:w="2808" w:type="dxa"/>
          </w:tcPr>
          <w:p w14:paraId="7CEEA670" w14:textId="045632BD" w:rsidR="00535F4E" w:rsidRPr="00F925FF" w:rsidRDefault="00483ED2" w:rsidP="00E3533D">
            <w:r w:rsidRPr="00F925FF">
              <w:t xml:space="preserve">Case write-ups </w:t>
            </w:r>
            <w:r w:rsidRPr="00F925FF">
              <w:br/>
            </w:r>
            <w:r w:rsidR="00A35E6D" w:rsidRPr="00F925FF">
              <w:t>(Type B</w:t>
            </w:r>
            <w:r w:rsidRPr="00F925FF">
              <w:t xml:space="preserve"> </w:t>
            </w:r>
            <w:r w:rsidR="00A35E6D" w:rsidRPr="00F925FF">
              <w:t>–</w:t>
            </w:r>
            <w:r w:rsidRPr="00F925FF">
              <w:t xml:space="preserve"> </w:t>
            </w:r>
            <w:r w:rsidR="00A35E6D" w:rsidRPr="00F925FF">
              <w:t>group/</w:t>
            </w:r>
            <w:r w:rsidRPr="00F925FF">
              <w:t>individual)</w:t>
            </w:r>
          </w:p>
        </w:tc>
        <w:tc>
          <w:tcPr>
            <w:tcW w:w="2160" w:type="dxa"/>
          </w:tcPr>
          <w:p w14:paraId="6A74164A" w14:textId="5E913520" w:rsidR="00535F4E" w:rsidRPr="00F925FF" w:rsidRDefault="004D6393" w:rsidP="00E3533D">
            <w:r w:rsidRPr="00F925FF">
              <w:t>2</w:t>
            </w:r>
            <w:r w:rsidR="00483ED2" w:rsidRPr="00F925FF">
              <w:t>0</w:t>
            </w:r>
            <w:r w:rsidR="00535F4E" w:rsidRPr="00F925FF">
              <w:t>%</w:t>
            </w:r>
          </w:p>
        </w:tc>
      </w:tr>
      <w:tr w:rsidR="00535F4E" w:rsidRPr="00F925FF" w14:paraId="657DCE92" w14:textId="77777777" w:rsidTr="00483ED2">
        <w:tc>
          <w:tcPr>
            <w:tcW w:w="2808" w:type="dxa"/>
          </w:tcPr>
          <w:p w14:paraId="35CC6AA3" w14:textId="5BFA2C44" w:rsidR="00483ED2" w:rsidRPr="00F925FF" w:rsidRDefault="004D6393" w:rsidP="00E3533D">
            <w:r w:rsidRPr="00F925FF">
              <w:t>Final take-home exam</w:t>
            </w:r>
          </w:p>
          <w:p w14:paraId="7E23B652" w14:textId="1BF053A7" w:rsidR="00535F4E" w:rsidRPr="00F925FF" w:rsidRDefault="004D6393" w:rsidP="00E3533D">
            <w:r w:rsidRPr="00F925FF">
              <w:t>(Type C - individual</w:t>
            </w:r>
            <w:r w:rsidR="00483ED2" w:rsidRPr="00F925FF">
              <w:t>)</w:t>
            </w:r>
          </w:p>
        </w:tc>
        <w:tc>
          <w:tcPr>
            <w:tcW w:w="2160" w:type="dxa"/>
          </w:tcPr>
          <w:p w14:paraId="3B166718" w14:textId="0FB02351" w:rsidR="00535F4E" w:rsidRPr="00F925FF" w:rsidRDefault="004D6393" w:rsidP="00E3533D">
            <w:r w:rsidRPr="00F925FF">
              <w:t>4</w:t>
            </w:r>
            <w:r w:rsidR="00483ED2" w:rsidRPr="00F925FF">
              <w:t>0</w:t>
            </w:r>
            <w:r w:rsidR="00535F4E" w:rsidRPr="00F925FF">
              <w:t>%</w:t>
            </w:r>
          </w:p>
        </w:tc>
      </w:tr>
    </w:tbl>
    <w:p w14:paraId="266AA27D" w14:textId="77777777" w:rsidR="00535F4E" w:rsidRPr="00F925FF" w:rsidRDefault="00535F4E" w:rsidP="00535F4E"/>
    <w:p w14:paraId="63E85B04" w14:textId="77777777" w:rsidR="00E3533D" w:rsidRPr="00F925FF" w:rsidRDefault="00535F4E" w:rsidP="00A71366">
      <w:pPr>
        <w:rPr>
          <w:rFonts w:cs="Arial"/>
          <w:b/>
        </w:rPr>
      </w:pPr>
      <w:r w:rsidRPr="00F925FF">
        <w:rPr>
          <w:rFonts w:cs="Arial"/>
          <w:b/>
        </w:rPr>
        <w:t>CLASSROOM NORMS AND EXPECTATIONS</w:t>
      </w:r>
    </w:p>
    <w:p w14:paraId="63F89ED7" w14:textId="77777777" w:rsidR="0063563F" w:rsidRPr="001E362D" w:rsidRDefault="00483ED2" w:rsidP="00A71366">
      <w:pPr>
        <w:rPr>
          <w:rFonts w:ascii="Arial" w:hAnsi="Arial" w:cs="Arial"/>
          <w:b/>
        </w:rPr>
      </w:pPr>
      <w:r w:rsidRPr="00F925FF">
        <w:rPr>
          <w:rFonts w:cs="Arial"/>
        </w:rPr>
        <w:t xml:space="preserve">Students are required to prepare for each class by reading and analyzing the assigned cases, utilizing the study guidance questions which are </w:t>
      </w:r>
      <w:r w:rsidR="00152D66" w:rsidRPr="00F925FF">
        <w:rPr>
          <w:rFonts w:cs="Arial"/>
        </w:rPr>
        <w:t xml:space="preserve">provided in the Canvas system. </w:t>
      </w:r>
      <w:r w:rsidRPr="00F925FF">
        <w:rPr>
          <w:rFonts w:cs="Arial"/>
        </w:rPr>
        <w:t>Students are expected to add thoughtful analysis to each cl</w:t>
      </w:r>
      <w:r w:rsidRPr="001E362D">
        <w:rPr>
          <w:rFonts w:ascii="Arial" w:hAnsi="Arial" w:cs="Arial"/>
        </w:rPr>
        <w:t>ass discussion.</w:t>
      </w:r>
    </w:p>
    <w:sectPr w:rsidR="0063563F" w:rsidRPr="001E362D"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C5E43" w14:textId="77777777" w:rsidR="00F95B22" w:rsidRDefault="00F95B22" w:rsidP="00934BFC">
      <w:pPr>
        <w:spacing w:after="0" w:line="240" w:lineRule="auto"/>
      </w:pPr>
      <w:r>
        <w:separator/>
      </w:r>
    </w:p>
  </w:endnote>
  <w:endnote w:type="continuationSeparator" w:id="0">
    <w:p w14:paraId="6E6DAC4C" w14:textId="77777777" w:rsidR="00F95B22" w:rsidRDefault="00F95B22"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5F65" w14:textId="77777777" w:rsidR="00F95B22" w:rsidRDefault="00F95B22">
    <w:pPr>
      <w:pStyle w:val="Footer"/>
    </w:pPr>
    <w:r>
      <w:t xml:space="preserve">Page </w:t>
    </w:r>
    <w:r>
      <w:rPr>
        <w:b/>
      </w:rPr>
      <w:fldChar w:fldCharType="begin"/>
    </w:r>
    <w:r>
      <w:rPr>
        <w:b/>
      </w:rPr>
      <w:instrText xml:space="preserve"> PAGE  \* Arabic  \* MERGEFORMAT </w:instrText>
    </w:r>
    <w:r>
      <w:rPr>
        <w:b/>
      </w:rPr>
      <w:fldChar w:fldCharType="separate"/>
    </w:r>
    <w:r w:rsidR="005B1814">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B1814">
      <w:rPr>
        <w:b/>
        <w:noProof/>
      </w:rPr>
      <w:t>3</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6BC52" w14:textId="77777777" w:rsidR="00F95B22" w:rsidRDefault="00F95B22" w:rsidP="00934BFC">
      <w:pPr>
        <w:spacing w:after="0" w:line="240" w:lineRule="auto"/>
      </w:pPr>
      <w:r>
        <w:separator/>
      </w:r>
    </w:p>
  </w:footnote>
  <w:footnote w:type="continuationSeparator" w:id="0">
    <w:p w14:paraId="44473BCB" w14:textId="77777777" w:rsidR="00F95B22" w:rsidRDefault="00F95B22" w:rsidP="0093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01F5A" w14:textId="77777777" w:rsidR="00F95B22" w:rsidRDefault="00F95B22" w:rsidP="00573C56">
    <w:pPr>
      <w:pStyle w:val="Header"/>
      <w:jc w:val="both"/>
    </w:pPr>
    <w:r>
      <w:rPr>
        <w:noProof/>
      </w:rPr>
      <w:ptab w:relativeTo="margin" w:alignment="left" w:leader="none"/>
    </w:r>
    <w:r>
      <w:rPr>
        <w:noProof/>
      </w:rPr>
      <w:drawing>
        <wp:inline distT="0" distB="0" distL="0" distR="0" wp14:anchorId="7AC84D89" wp14:editId="71538730">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5AE"/>
    <w:multiLevelType w:val="hybridMultilevel"/>
    <w:tmpl w:val="AB5208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64B0"/>
    <w:multiLevelType w:val="hybridMultilevel"/>
    <w:tmpl w:val="E61696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31032C"/>
    <w:multiLevelType w:val="hybridMultilevel"/>
    <w:tmpl w:val="5FB6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8612D"/>
    <w:multiLevelType w:val="hybridMultilevel"/>
    <w:tmpl w:val="88FA5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D76F5"/>
    <w:multiLevelType w:val="hybridMultilevel"/>
    <w:tmpl w:val="B748BC04"/>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651AAC"/>
    <w:multiLevelType w:val="hybridMultilevel"/>
    <w:tmpl w:val="CB1208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A6564"/>
    <w:multiLevelType w:val="hybridMultilevel"/>
    <w:tmpl w:val="EBE0802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43F65B8"/>
    <w:multiLevelType w:val="hybridMultilevel"/>
    <w:tmpl w:val="0ABAD3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5C3DD3"/>
    <w:multiLevelType w:val="hybridMultilevel"/>
    <w:tmpl w:val="CE8A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34A38"/>
    <w:multiLevelType w:val="hybridMultilevel"/>
    <w:tmpl w:val="F98634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1D2F68"/>
    <w:multiLevelType w:val="hybridMultilevel"/>
    <w:tmpl w:val="EADCBDC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53271B3"/>
    <w:multiLevelType w:val="hybridMultilevel"/>
    <w:tmpl w:val="403E0E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B9421D"/>
    <w:multiLevelType w:val="hybridMultilevel"/>
    <w:tmpl w:val="2ED04A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CDC1017"/>
    <w:multiLevelType w:val="hybridMultilevel"/>
    <w:tmpl w:val="069A81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DDC4E9F"/>
    <w:multiLevelType w:val="hybridMultilevel"/>
    <w:tmpl w:val="000C493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0D5FA5"/>
    <w:multiLevelType w:val="hybridMultilevel"/>
    <w:tmpl w:val="F54C0A7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C90279"/>
    <w:multiLevelType w:val="hybridMultilevel"/>
    <w:tmpl w:val="09C06D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7C64D92"/>
    <w:multiLevelType w:val="hybridMultilevel"/>
    <w:tmpl w:val="37563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43005C"/>
    <w:multiLevelType w:val="hybridMultilevel"/>
    <w:tmpl w:val="D75C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91B79"/>
    <w:multiLevelType w:val="hybridMultilevel"/>
    <w:tmpl w:val="6DEC57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AC238BE"/>
    <w:multiLevelType w:val="hybridMultilevel"/>
    <w:tmpl w:val="147EA1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C470951"/>
    <w:multiLevelType w:val="hybridMultilevel"/>
    <w:tmpl w:val="CFBE3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20791E"/>
    <w:multiLevelType w:val="hybridMultilevel"/>
    <w:tmpl w:val="317A68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C75B06"/>
    <w:multiLevelType w:val="hybridMultilevel"/>
    <w:tmpl w:val="79645DF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9A1716"/>
    <w:multiLevelType w:val="hybridMultilevel"/>
    <w:tmpl w:val="C37AB30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7F326C"/>
    <w:multiLevelType w:val="hybridMultilevel"/>
    <w:tmpl w:val="2304A6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72E1A57"/>
    <w:multiLevelType w:val="hybridMultilevel"/>
    <w:tmpl w:val="47D628F4"/>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9F74BD"/>
    <w:multiLevelType w:val="hybridMultilevel"/>
    <w:tmpl w:val="998AE5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543548A"/>
    <w:multiLevelType w:val="hybridMultilevel"/>
    <w:tmpl w:val="35C8A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60B36"/>
    <w:multiLevelType w:val="hybridMultilevel"/>
    <w:tmpl w:val="A5948856"/>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535774"/>
    <w:multiLevelType w:val="hybridMultilevel"/>
    <w:tmpl w:val="E048BF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9"/>
  </w:num>
  <w:num w:numId="4">
    <w:abstractNumId w:val="31"/>
  </w:num>
  <w:num w:numId="5">
    <w:abstractNumId w:val="32"/>
  </w:num>
  <w:num w:numId="6">
    <w:abstractNumId w:val="19"/>
  </w:num>
  <w:num w:numId="7">
    <w:abstractNumId w:val="13"/>
  </w:num>
  <w:num w:numId="8">
    <w:abstractNumId w:val="4"/>
  </w:num>
  <w:num w:numId="9">
    <w:abstractNumId w:val="30"/>
  </w:num>
  <w:num w:numId="10">
    <w:abstractNumId w:val="22"/>
  </w:num>
  <w:num w:numId="11">
    <w:abstractNumId w:val="15"/>
  </w:num>
  <w:num w:numId="12">
    <w:abstractNumId w:val="16"/>
  </w:num>
  <w:num w:numId="13">
    <w:abstractNumId w:val="23"/>
  </w:num>
  <w:num w:numId="14">
    <w:abstractNumId w:val="28"/>
  </w:num>
  <w:num w:numId="15">
    <w:abstractNumId w:val="29"/>
  </w:num>
  <w:num w:numId="16">
    <w:abstractNumId w:val="33"/>
  </w:num>
  <w:num w:numId="17">
    <w:abstractNumId w:val="20"/>
  </w:num>
  <w:num w:numId="18">
    <w:abstractNumId w:val="21"/>
  </w:num>
  <w:num w:numId="19">
    <w:abstractNumId w:val="0"/>
  </w:num>
  <w:num w:numId="20">
    <w:abstractNumId w:val="1"/>
  </w:num>
  <w:num w:numId="21">
    <w:abstractNumId w:val="6"/>
  </w:num>
  <w:num w:numId="22">
    <w:abstractNumId w:val="12"/>
  </w:num>
  <w:num w:numId="23">
    <w:abstractNumId w:val="7"/>
  </w:num>
  <w:num w:numId="24">
    <w:abstractNumId w:val="24"/>
  </w:num>
  <w:num w:numId="25">
    <w:abstractNumId w:val="11"/>
  </w:num>
  <w:num w:numId="26">
    <w:abstractNumId w:val="2"/>
  </w:num>
  <w:num w:numId="27">
    <w:abstractNumId w:val="3"/>
  </w:num>
  <w:num w:numId="28">
    <w:abstractNumId w:val="27"/>
  </w:num>
  <w:num w:numId="29">
    <w:abstractNumId w:val="26"/>
  </w:num>
  <w:num w:numId="30">
    <w:abstractNumId w:val="18"/>
  </w:num>
  <w:num w:numId="31">
    <w:abstractNumId w:val="14"/>
  </w:num>
  <w:num w:numId="32">
    <w:abstractNumId w:val="17"/>
  </w:num>
  <w:num w:numId="33">
    <w:abstractNumId w:val="8"/>
  </w:num>
  <w:num w:numId="34">
    <w:abstractNumId w:val="2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FC"/>
    <w:rsid w:val="00152D66"/>
    <w:rsid w:val="00195398"/>
    <w:rsid w:val="001B7819"/>
    <w:rsid w:val="001D55F6"/>
    <w:rsid w:val="001E362D"/>
    <w:rsid w:val="002052D9"/>
    <w:rsid w:val="00291E97"/>
    <w:rsid w:val="002A18E1"/>
    <w:rsid w:val="002F54E1"/>
    <w:rsid w:val="004233B9"/>
    <w:rsid w:val="00431291"/>
    <w:rsid w:val="00483ED2"/>
    <w:rsid w:val="004D6393"/>
    <w:rsid w:val="004D6ED5"/>
    <w:rsid w:val="004E2EB8"/>
    <w:rsid w:val="00535F4E"/>
    <w:rsid w:val="00540249"/>
    <w:rsid w:val="00573C56"/>
    <w:rsid w:val="005A6147"/>
    <w:rsid w:val="005B1814"/>
    <w:rsid w:val="0063563F"/>
    <w:rsid w:val="0066317E"/>
    <w:rsid w:val="006D66F2"/>
    <w:rsid w:val="006F006F"/>
    <w:rsid w:val="008D2618"/>
    <w:rsid w:val="00911A97"/>
    <w:rsid w:val="00934BFC"/>
    <w:rsid w:val="00945620"/>
    <w:rsid w:val="009E20D4"/>
    <w:rsid w:val="00A03C4F"/>
    <w:rsid w:val="00A10BBA"/>
    <w:rsid w:val="00A24C63"/>
    <w:rsid w:val="00A260BB"/>
    <w:rsid w:val="00A35E6D"/>
    <w:rsid w:val="00A46929"/>
    <w:rsid w:val="00A71366"/>
    <w:rsid w:val="00AA5125"/>
    <w:rsid w:val="00AF0275"/>
    <w:rsid w:val="00AF6E46"/>
    <w:rsid w:val="00BE49D2"/>
    <w:rsid w:val="00C1780B"/>
    <w:rsid w:val="00C45A1D"/>
    <w:rsid w:val="00D277DC"/>
    <w:rsid w:val="00DB1B15"/>
    <w:rsid w:val="00DB507F"/>
    <w:rsid w:val="00DC0425"/>
    <w:rsid w:val="00E3533D"/>
    <w:rsid w:val="00E57B2C"/>
    <w:rsid w:val="00E97B6B"/>
    <w:rsid w:val="00F925FF"/>
    <w:rsid w:val="00F95B22"/>
    <w:rsid w:val="00FC61CB"/>
    <w:rsid w:val="00FF6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3D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character" w:customStyle="1" w:styleId="field-content">
    <w:name w:val="field-content"/>
    <w:basedOn w:val="DefaultParagraphFont"/>
    <w:rsid w:val="00D277DC"/>
  </w:style>
  <w:style w:type="character" w:customStyle="1" w:styleId="date-display-single">
    <w:name w:val="date-display-single"/>
    <w:basedOn w:val="DefaultParagraphFont"/>
    <w:rsid w:val="00D277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character" w:customStyle="1" w:styleId="field-content">
    <w:name w:val="field-content"/>
    <w:basedOn w:val="DefaultParagraphFont"/>
    <w:rsid w:val="00D277DC"/>
  </w:style>
  <w:style w:type="character" w:customStyle="1" w:styleId="date-display-single">
    <w:name w:val="date-display-single"/>
    <w:basedOn w:val="DefaultParagraphFont"/>
    <w:rsid w:val="00D27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858</Words>
  <Characters>4891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bmu2001@columbia.edu</dc:creator>
  <cp:lastModifiedBy>Bruce Usher</cp:lastModifiedBy>
  <cp:revision>5</cp:revision>
  <dcterms:created xsi:type="dcterms:W3CDTF">2014-11-03T13:43:00Z</dcterms:created>
  <dcterms:modified xsi:type="dcterms:W3CDTF">2014-11-03T14:27:00Z</dcterms:modified>
</cp:coreProperties>
</file>