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B2E8C" w14:textId="77777777" w:rsidR="00934BFC" w:rsidRDefault="00934BFC" w:rsidP="00934BFC">
      <w:bookmarkStart w:id="0" w:name="_GoBack"/>
      <w:bookmarkEnd w:id="0"/>
    </w:p>
    <w:p w14:paraId="31356CE1" w14:textId="77777777" w:rsidR="00934BFC" w:rsidRDefault="00934BFC" w:rsidP="00934BFC">
      <w:pPr>
        <w:sectPr w:rsidR="00934BFC">
          <w:headerReference w:type="default" r:id="rId7"/>
          <w:footerReference w:type="default" r:id="rId8"/>
          <w:pgSz w:w="12240" w:h="15840"/>
          <w:pgMar w:top="1440" w:right="720" w:bottom="1440" w:left="720" w:header="720" w:footer="720" w:gutter="0"/>
          <w:cols w:space="720"/>
          <w:docGrid w:linePitch="360"/>
        </w:sectPr>
      </w:pPr>
    </w:p>
    <w:p w14:paraId="699EBA2B" w14:textId="77777777" w:rsidR="00535F4E" w:rsidRDefault="00D74CC6" w:rsidP="00535F4E">
      <w:pPr>
        <w:jc w:val="center"/>
        <w:rPr>
          <w:b/>
          <w:sz w:val="28"/>
          <w:szCs w:val="28"/>
        </w:rPr>
      </w:pPr>
      <w:r>
        <w:rPr>
          <w:b/>
          <w:sz w:val="28"/>
          <w:szCs w:val="28"/>
        </w:rPr>
        <w:lastRenderedPageBreak/>
        <w:t>Current</w:t>
      </w:r>
      <w:r w:rsidR="002F5E86">
        <w:rPr>
          <w:b/>
          <w:sz w:val="28"/>
          <w:szCs w:val="28"/>
        </w:rPr>
        <w:t xml:space="preserve"> Development in Energy Markets</w:t>
      </w:r>
    </w:p>
    <w:p w14:paraId="339B105E" w14:textId="63A61757" w:rsidR="00D128CC" w:rsidRPr="00535F4E" w:rsidRDefault="00D128CC" w:rsidP="00D128CC">
      <w:pPr>
        <w:jc w:val="center"/>
        <w:rPr>
          <w:b/>
          <w:sz w:val="28"/>
          <w:szCs w:val="28"/>
        </w:rPr>
      </w:pPr>
      <w:r>
        <w:rPr>
          <w:b/>
          <w:sz w:val="28"/>
          <w:szCs w:val="28"/>
        </w:rPr>
        <w:t>FALL 2018</w:t>
      </w:r>
    </w:p>
    <w:p w14:paraId="35791865" w14:textId="77777777" w:rsidR="00934BFC" w:rsidRPr="002F5E86" w:rsidRDefault="002F5E86" w:rsidP="00934BFC">
      <w:pPr>
        <w:rPr>
          <w:b/>
          <w:sz w:val="24"/>
          <w:szCs w:val="24"/>
        </w:rPr>
      </w:pPr>
      <w:r w:rsidRPr="002F5E86">
        <w:rPr>
          <w:b/>
          <w:sz w:val="24"/>
          <w:szCs w:val="24"/>
        </w:rPr>
        <w:t>Prof. Geoffrey Heal</w:t>
      </w:r>
    </w:p>
    <w:p w14:paraId="01A9BAFA" w14:textId="77777777" w:rsidR="00934BFC" w:rsidRDefault="002F5E86" w:rsidP="00934BFC">
      <w:r>
        <w:t>Uris Hall 516</w:t>
      </w:r>
    </w:p>
    <w:p w14:paraId="6776CBF4" w14:textId="77777777" w:rsidR="00934BFC" w:rsidRDefault="00934BFC" w:rsidP="00934BFC">
      <w:r>
        <w:t>Office Phone:</w:t>
      </w:r>
      <w:r>
        <w:tab/>
      </w:r>
      <w:r w:rsidR="002F5E86">
        <w:t>212-854-6459</w:t>
      </w:r>
    </w:p>
    <w:p w14:paraId="537B4641" w14:textId="77777777" w:rsidR="00934BFC" w:rsidRDefault="002F5E86" w:rsidP="00934BFC">
      <w:r>
        <w:t>Fax:</w:t>
      </w:r>
      <w:r>
        <w:tab/>
        <w:t>212-854-7647</w:t>
      </w:r>
    </w:p>
    <w:p w14:paraId="3B42FF29" w14:textId="77777777" w:rsidR="00934BFC" w:rsidRDefault="002F5E86" w:rsidP="00934BFC">
      <w:r>
        <w:t>E-mail:</w:t>
      </w:r>
      <w:r>
        <w:tab/>
      </w:r>
      <w:hyperlink r:id="rId9" w:history="1">
        <w:r w:rsidR="00951BCB" w:rsidRPr="00D93458">
          <w:rPr>
            <w:rStyle w:val="Hyperlink"/>
          </w:rPr>
          <w:t>gmh1@gsb.columbia.edu</w:t>
        </w:r>
      </w:hyperlink>
      <w:r>
        <w:t xml:space="preserve"> </w:t>
      </w:r>
    </w:p>
    <w:p w14:paraId="14438FAE" w14:textId="77777777" w:rsidR="00934BFC" w:rsidRDefault="00934BFC" w:rsidP="00934BFC">
      <w:pPr>
        <w:sectPr w:rsidR="00934BFC">
          <w:type w:val="continuous"/>
          <w:pgSz w:w="12240" w:h="15840"/>
          <w:pgMar w:top="1440" w:right="720" w:bottom="1440" w:left="720" w:header="720" w:footer="720" w:gutter="0"/>
          <w:cols w:space="720"/>
          <w:docGrid w:linePitch="360"/>
        </w:sectPr>
      </w:pPr>
      <w:r>
        <w:t>Office Hours:</w:t>
      </w:r>
      <w:r w:rsidR="002F5E86">
        <w:tab/>
      </w:r>
      <w:r w:rsidR="003F53DA">
        <w:t xml:space="preserve">I operate an </w:t>
      </w:r>
      <w:r w:rsidR="003F53DA" w:rsidRPr="00D74CC6">
        <w:rPr>
          <w:b/>
        </w:rPr>
        <w:t>open-door policy</w:t>
      </w:r>
      <w:r w:rsidR="003F53DA">
        <w:t>: I am happy to talk with you whenever I am in my office. If I’m not there when you look for me</w:t>
      </w:r>
      <w:r w:rsidR="00D74CC6">
        <w:t>, then</w:t>
      </w:r>
      <w:r w:rsidR="003F53DA">
        <w:t xml:space="preserve"> send me an email and we will set an appointment. </w:t>
      </w:r>
    </w:p>
    <w:p w14:paraId="7EEBBA22" w14:textId="77777777" w:rsidR="00AF3E9E" w:rsidRDefault="008E4AA1" w:rsidP="00934BFC">
      <w:r>
        <w:lastRenderedPageBreak/>
        <w:t>TE</w:t>
      </w:r>
      <w:r w:rsidR="00483DE1">
        <w:t>ACHING ASSISTANT: TBA</w:t>
      </w:r>
    </w:p>
    <w:p w14:paraId="3450A5D6" w14:textId="77777777" w:rsidR="009F7906" w:rsidRDefault="00AF3E9E" w:rsidP="00934BFC">
      <w:r>
        <w:t>Class times 2.15pm to 3.45pm Mo</w:t>
      </w:r>
      <w:r w:rsidR="0025614B">
        <w:t>ndays and Wednesdays in Uris 326</w:t>
      </w:r>
      <w:r>
        <w:t xml:space="preserve">. </w:t>
      </w:r>
    </w:p>
    <w:p w14:paraId="14F6C369" w14:textId="77777777" w:rsidR="009F7906" w:rsidRPr="00E31797" w:rsidRDefault="009F7906" w:rsidP="00DA6EF2">
      <w:pPr>
        <w:shd w:val="clear" w:color="auto" w:fill="007FCC"/>
        <w:spacing w:beforeLines="1" w:before="2" w:afterLines="1" w:after="2"/>
        <w:rPr>
          <w:rFonts w:ascii="Times" w:hAnsi="Times"/>
          <w:sz w:val="24"/>
          <w:szCs w:val="20"/>
        </w:rPr>
      </w:pPr>
      <w:r>
        <w:rPr>
          <w:rFonts w:ascii="Arial" w:hAnsi="Arial"/>
          <w:color w:val="FFFFFF"/>
          <w:szCs w:val="52"/>
        </w:rPr>
        <w:t>Classroom</w:t>
      </w:r>
      <w:r w:rsidRPr="00E31797">
        <w:rPr>
          <w:rFonts w:ascii="Arial" w:hAnsi="Arial"/>
          <w:color w:val="FFFFFF"/>
          <w:sz w:val="24"/>
          <w:szCs w:val="52"/>
        </w:rPr>
        <w:t xml:space="preserve"> Culture is about the 3Ps </w:t>
      </w:r>
    </w:p>
    <w:p w14:paraId="59B33D41" w14:textId="77777777" w:rsidR="009F7906" w:rsidRPr="00E31797" w:rsidRDefault="009F7906" w:rsidP="00DA6EF2">
      <w:pPr>
        <w:shd w:val="clear" w:color="auto" w:fill="FFFFFF"/>
        <w:spacing w:beforeLines="1" w:before="2" w:afterLines="1" w:after="2"/>
        <w:rPr>
          <w:rFonts w:ascii="Times" w:hAnsi="Times"/>
          <w:sz w:val="24"/>
          <w:szCs w:val="20"/>
        </w:rPr>
      </w:pPr>
      <w:r w:rsidRPr="00E31797">
        <w:rPr>
          <w:rFonts w:ascii="Arial,Bold" w:hAnsi="Arial,Bold"/>
          <w:color w:val="007FCC"/>
          <w:sz w:val="24"/>
          <w:szCs w:val="40"/>
        </w:rPr>
        <w:t>Present</w:t>
      </w:r>
      <w:r w:rsidRPr="00E31797">
        <w:rPr>
          <w:rFonts w:ascii="Arial" w:hAnsi="Arial"/>
          <w:color w:val="007FCC"/>
          <w:sz w:val="24"/>
          <w:szCs w:val="40"/>
        </w:rPr>
        <w:t xml:space="preserve">: </w:t>
      </w:r>
    </w:p>
    <w:p w14:paraId="4C41C399" w14:textId="77777777" w:rsidR="009F7906" w:rsidRPr="00E31797" w:rsidRDefault="009F7906" w:rsidP="00DA6EF2">
      <w:pPr>
        <w:numPr>
          <w:ilvl w:val="0"/>
          <w:numId w:val="7"/>
        </w:numPr>
        <w:shd w:val="clear" w:color="auto" w:fill="FFFFFF"/>
        <w:spacing w:beforeLines="1" w:before="2" w:afterLines="1" w:after="2" w:line="240" w:lineRule="auto"/>
        <w:rPr>
          <w:rFonts w:ascii="Arial" w:hAnsi="Arial"/>
          <w:sz w:val="24"/>
          <w:szCs w:val="40"/>
        </w:rPr>
      </w:pPr>
      <w:r w:rsidRPr="00E31797">
        <w:rPr>
          <w:rFonts w:ascii="Arial" w:hAnsi="Arial"/>
          <w:sz w:val="24"/>
          <w:szCs w:val="40"/>
        </w:rPr>
        <w:t xml:space="preserve">On time and present for every session </w:t>
      </w:r>
    </w:p>
    <w:p w14:paraId="11F9AE62" w14:textId="77777777" w:rsidR="009F7906" w:rsidRPr="00E31797" w:rsidRDefault="0025614B" w:rsidP="00DA6EF2">
      <w:pPr>
        <w:numPr>
          <w:ilvl w:val="0"/>
          <w:numId w:val="7"/>
        </w:numPr>
        <w:shd w:val="clear" w:color="auto" w:fill="FFFFFF"/>
        <w:spacing w:beforeLines="1" w:before="2" w:afterLines="1" w:after="2" w:line="240" w:lineRule="auto"/>
        <w:rPr>
          <w:rFonts w:ascii="Arial" w:hAnsi="Arial"/>
          <w:sz w:val="24"/>
          <w:szCs w:val="40"/>
        </w:rPr>
      </w:pPr>
      <w:r>
        <w:rPr>
          <w:rFonts w:ascii="Arial" w:hAnsi="Arial"/>
          <w:sz w:val="24"/>
          <w:szCs w:val="40"/>
        </w:rPr>
        <w:t xml:space="preserve">Attendance tracked </w:t>
      </w:r>
      <w:r w:rsidR="009F7906" w:rsidRPr="00E31797">
        <w:rPr>
          <w:rFonts w:ascii="Arial" w:hAnsi="Arial"/>
          <w:sz w:val="24"/>
          <w:szCs w:val="40"/>
        </w:rPr>
        <w:t xml:space="preserve"> </w:t>
      </w:r>
    </w:p>
    <w:p w14:paraId="32A3AB5C" w14:textId="77777777" w:rsidR="009F7906" w:rsidRPr="00E31797" w:rsidRDefault="009F7906" w:rsidP="00DA6EF2">
      <w:pPr>
        <w:shd w:val="clear" w:color="auto" w:fill="FFFFFF"/>
        <w:spacing w:beforeLines="1" w:before="2" w:afterLines="1" w:after="2"/>
        <w:rPr>
          <w:rFonts w:ascii="Arial" w:hAnsi="Arial"/>
          <w:sz w:val="24"/>
          <w:szCs w:val="40"/>
        </w:rPr>
      </w:pPr>
      <w:r w:rsidRPr="00E31797">
        <w:rPr>
          <w:rFonts w:ascii="Arial,Bold" w:hAnsi="Arial,Bold"/>
          <w:color w:val="007FCC"/>
          <w:sz w:val="24"/>
          <w:szCs w:val="40"/>
        </w:rPr>
        <w:t xml:space="preserve">Prepared: </w:t>
      </w:r>
    </w:p>
    <w:p w14:paraId="4BF1C662" w14:textId="77777777" w:rsidR="009F7906" w:rsidRPr="00E31797" w:rsidRDefault="009F7906" w:rsidP="00DA6EF2">
      <w:pPr>
        <w:numPr>
          <w:ilvl w:val="0"/>
          <w:numId w:val="8"/>
        </w:numPr>
        <w:shd w:val="clear" w:color="auto" w:fill="FFFFFF"/>
        <w:spacing w:beforeLines="1" w:before="2" w:afterLines="1" w:after="2" w:line="240" w:lineRule="auto"/>
        <w:rPr>
          <w:rFonts w:ascii="Arial" w:hAnsi="Arial"/>
          <w:sz w:val="24"/>
          <w:szCs w:val="40"/>
        </w:rPr>
      </w:pPr>
      <w:r w:rsidRPr="00E31797">
        <w:rPr>
          <w:rFonts w:ascii="Arial" w:hAnsi="Arial"/>
          <w:sz w:val="24"/>
          <w:szCs w:val="40"/>
        </w:rPr>
        <w:t xml:space="preserve">Complete pre-work needed, expect cold calling </w:t>
      </w:r>
    </w:p>
    <w:p w14:paraId="15546EE7" w14:textId="77777777" w:rsidR="009F7906" w:rsidRPr="00E31797" w:rsidRDefault="009F7906" w:rsidP="00DA6EF2">
      <w:pPr>
        <w:numPr>
          <w:ilvl w:val="0"/>
          <w:numId w:val="8"/>
        </w:numPr>
        <w:shd w:val="clear" w:color="auto" w:fill="FFFFFF"/>
        <w:spacing w:beforeLines="1" w:before="2" w:afterLines="1" w:after="2" w:line="240" w:lineRule="auto"/>
        <w:rPr>
          <w:rFonts w:ascii="Arial" w:hAnsi="Arial"/>
          <w:sz w:val="24"/>
          <w:szCs w:val="40"/>
        </w:rPr>
      </w:pPr>
      <w:r w:rsidRPr="00E31797">
        <w:rPr>
          <w:rFonts w:ascii="Arial" w:hAnsi="Arial"/>
          <w:sz w:val="24"/>
          <w:szCs w:val="40"/>
        </w:rPr>
        <w:t xml:space="preserve">Bring nameplates </w:t>
      </w:r>
    </w:p>
    <w:p w14:paraId="632F4A77" w14:textId="77777777" w:rsidR="009F7906" w:rsidRPr="00E31797" w:rsidRDefault="009F7906" w:rsidP="00DA6EF2">
      <w:pPr>
        <w:shd w:val="clear" w:color="auto" w:fill="FFFFFF"/>
        <w:spacing w:beforeLines="1" w:before="2" w:afterLines="1" w:after="2"/>
        <w:rPr>
          <w:rFonts w:ascii="Arial" w:hAnsi="Arial"/>
          <w:sz w:val="24"/>
          <w:szCs w:val="40"/>
        </w:rPr>
      </w:pPr>
      <w:r w:rsidRPr="00E31797">
        <w:rPr>
          <w:rFonts w:ascii="Arial,Bold" w:hAnsi="Arial,Bold"/>
          <w:color w:val="007FCC"/>
          <w:sz w:val="24"/>
          <w:szCs w:val="40"/>
        </w:rPr>
        <w:t>Participating</w:t>
      </w:r>
      <w:r w:rsidRPr="00E31797">
        <w:rPr>
          <w:rFonts w:ascii="Arial" w:hAnsi="Arial"/>
          <w:color w:val="007FCC"/>
          <w:sz w:val="24"/>
          <w:szCs w:val="40"/>
        </w:rPr>
        <w:t xml:space="preserve">: </w:t>
      </w:r>
    </w:p>
    <w:p w14:paraId="28489A10" w14:textId="77777777" w:rsidR="009F7906" w:rsidRPr="00E31797" w:rsidRDefault="009F7906" w:rsidP="00DA6EF2">
      <w:pPr>
        <w:numPr>
          <w:ilvl w:val="0"/>
          <w:numId w:val="9"/>
        </w:numPr>
        <w:shd w:val="clear" w:color="auto" w:fill="FFFFFF"/>
        <w:spacing w:beforeLines="1" w:before="2" w:afterLines="1" w:after="2" w:line="240" w:lineRule="auto"/>
        <w:rPr>
          <w:rFonts w:ascii="Arial" w:hAnsi="Arial"/>
          <w:sz w:val="24"/>
          <w:szCs w:val="40"/>
        </w:rPr>
      </w:pPr>
      <w:r w:rsidRPr="00E31797">
        <w:rPr>
          <w:rFonts w:ascii="Arial" w:hAnsi="Arial"/>
          <w:sz w:val="24"/>
          <w:szCs w:val="40"/>
        </w:rPr>
        <w:t xml:space="preserve">Constructive participation expected and part of grade </w:t>
      </w:r>
    </w:p>
    <w:p w14:paraId="044B21B2" w14:textId="77777777" w:rsidR="009F7906" w:rsidRDefault="009F7906" w:rsidP="00DA6EF2">
      <w:pPr>
        <w:numPr>
          <w:ilvl w:val="0"/>
          <w:numId w:val="9"/>
        </w:numPr>
        <w:shd w:val="clear" w:color="auto" w:fill="FFFFFF"/>
        <w:spacing w:beforeLines="1" w:before="2" w:afterLines="1" w:after="2" w:line="240" w:lineRule="auto"/>
      </w:pPr>
      <w:r w:rsidRPr="00E31797">
        <w:rPr>
          <w:rFonts w:ascii="Arial" w:hAnsi="Arial"/>
          <w:b/>
          <w:szCs w:val="40"/>
        </w:rPr>
        <w:t>No</w:t>
      </w:r>
      <w:r>
        <w:rPr>
          <w:rFonts w:ascii="Arial" w:hAnsi="Arial"/>
          <w:szCs w:val="40"/>
        </w:rPr>
        <w:t xml:space="preserve"> </w:t>
      </w:r>
      <w:r w:rsidRPr="00E31797">
        <w:rPr>
          <w:rFonts w:ascii="Arial" w:hAnsi="Arial"/>
          <w:b/>
          <w:szCs w:val="40"/>
        </w:rPr>
        <w:t>electronic</w:t>
      </w:r>
      <w:r>
        <w:rPr>
          <w:rFonts w:ascii="Arial" w:hAnsi="Arial"/>
          <w:szCs w:val="40"/>
        </w:rPr>
        <w:t xml:space="preserve"> </w:t>
      </w:r>
      <w:r w:rsidRPr="00E31797">
        <w:rPr>
          <w:rFonts w:ascii="Arial" w:hAnsi="Arial"/>
          <w:b/>
          <w:szCs w:val="40"/>
        </w:rPr>
        <w:t>devices</w:t>
      </w:r>
      <w:r>
        <w:rPr>
          <w:rFonts w:ascii="Arial" w:hAnsi="Arial"/>
          <w:b/>
          <w:szCs w:val="40"/>
        </w:rPr>
        <w:t xml:space="preserve"> in class</w:t>
      </w:r>
      <w:r>
        <w:rPr>
          <w:rFonts w:ascii="Arial" w:hAnsi="Arial"/>
          <w:szCs w:val="40"/>
        </w:rPr>
        <w:t>.</w:t>
      </w:r>
    </w:p>
    <w:p w14:paraId="515860E3" w14:textId="77777777" w:rsidR="00934BFC" w:rsidRDefault="00934BFC" w:rsidP="00934BFC"/>
    <w:p w14:paraId="4689B949" w14:textId="0EF7642C" w:rsidR="00934BFC" w:rsidRDefault="003771F0" w:rsidP="00934BFC">
      <w:r>
        <w:rPr>
          <w:noProof/>
        </w:rPr>
        <mc:AlternateContent>
          <mc:Choice Requires="wps">
            <w:drawing>
              <wp:anchor distT="4294967294" distB="4294967294" distL="114300" distR="114300" simplePos="0" relativeHeight="251659264" behindDoc="0" locked="0" layoutInCell="1" allowOverlap="1" wp14:anchorId="25B1B5B4" wp14:editId="358A1FEC">
                <wp:simplePos x="0" y="0"/>
                <wp:positionH relativeFrom="column">
                  <wp:posOffset>-999490</wp:posOffset>
                </wp:positionH>
                <wp:positionV relativeFrom="paragraph">
                  <wp:posOffset>121919</wp:posOffset>
                </wp:positionV>
                <wp:extent cx="8105775" cy="0"/>
                <wp:effectExtent l="0" t="0"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FEE59" id="Straight Connector 1"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78.7pt,9.6pt" to="559.5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" strokecolor="#4579b8 [3044]">
                <o:lock v:ext="edit" shapetype="f"/>
              </v:line>
            </w:pict>
          </mc:Fallback>
        </mc:AlternateContent>
      </w:r>
    </w:p>
    <w:p w14:paraId="2C95F0AD" w14:textId="0EF73F38" w:rsidR="002F5E86" w:rsidRPr="002F5E86" w:rsidRDefault="002F5E86" w:rsidP="002F5E86">
      <w:r w:rsidRPr="002F5E86">
        <w:t xml:space="preserve">The energy industry is one of the largest in the U.S., and is absolutely central to the operation of the economy: without energy, the economy collapses. </w:t>
      </w:r>
      <w:r w:rsidR="0025614B">
        <w:t>(The energy industry includes oil and gas, coal, wind, solar, nuclear, utilities, pipelines, power distribution, and transportation.)</w:t>
      </w:r>
      <w:r w:rsidR="0025614B" w:rsidRPr="002F5E86">
        <w:t xml:space="preserve"> </w:t>
      </w:r>
      <w:r w:rsidRPr="002F5E86">
        <w:t>Currently the energy industry is undergoing rapid and dramatic changes</w:t>
      </w:r>
      <w:r w:rsidR="00D74CC6">
        <w:t>, with implications for the rest of the economy</w:t>
      </w:r>
      <w:r w:rsidR="0025614B">
        <w:t>: it is not an exaggeration to talk of an energy revolution</w:t>
      </w:r>
      <w:r w:rsidR="00D128CC">
        <w:t>, as there will be more changes in this industry in the next few decades than there have been over the last century</w:t>
      </w:r>
      <w:r w:rsidR="0025614B">
        <w:t>.</w:t>
      </w:r>
      <w:r w:rsidR="00951BCB">
        <w:t xml:space="preserve"> </w:t>
      </w:r>
      <w:r w:rsidR="00D74CC6">
        <w:t>This is an exciting</w:t>
      </w:r>
      <w:r w:rsidR="00D128CC">
        <w:t xml:space="preserve"> and difficult</w:t>
      </w:r>
      <w:r w:rsidR="00D74CC6">
        <w:t xml:space="preserve"> time in energy markets. </w:t>
      </w:r>
      <w:r w:rsidRPr="002F5E86">
        <w:t xml:space="preserve">Changes are always business challenges and business opportunities, and there </w:t>
      </w:r>
      <w:r w:rsidR="00D128CC">
        <w:t>are currently</w:t>
      </w:r>
      <w:r w:rsidRPr="002F5E86">
        <w:t xml:space="preserve"> many opportunities and challenges in the energy business. These changes and the factors driving them and the opportunities they generate are the subject of this course. </w:t>
      </w:r>
    </w:p>
    <w:p w14:paraId="0F3ED772" w14:textId="3E411156" w:rsidR="002F5E86" w:rsidRPr="002F5E86" w:rsidRDefault="002F5E86" w:rsidP="002F5E86">
      <w:r w:rsidRPr="002F5E86">
        <w:lastRenderedPageBreak/>
        <w:t xml:space="preserve">The course starts with a </w:t>
      </w:r>
      <w:r w:rsidRPr="00F176D2">
        <w:rPr>
          <w:b/>
        </w:rPr>
        <w:t>review of the concept of energy</w:t>
      </w:r>
      <w:r w:rsidRPr="002F5E86">
        <w:t xml:space="preserve"> – what is energy, how is it measured and how is it generated?  We then talk </w:t>
      </w:r>
      <w:r w:rsidR="00D128CC">
        <w:t xml:space="preserve">briefly </w:t>
      </w:r>
      <w:r w:rsidRPr="002F5E86">
        <w:t xml:space="preserve">about the </w:t>
      </w:r>
      <w:r w:rsidRPr="00F176D2">
        <w:rPr>
          <w:b/>
        </w:rPr>
        <w:t>regulatory and institutional framework</w:t>
      </w:r>
      <w:r w:rsidRPr="002F5E86">
        <w:t xml:space="preserve"> within which energy is produced and traded in the U.S., and about the costing of energy – average versus marginal costs and the levelized cost of electricity. </w:t>
      </w:r>
    </w:p>
    <w:p w14:paraId="78DBE589" w14:textId="7739E95E" w:rsidR="002F5E86" w:rsidRPr="002F5E86" w:rsidRDefault="002F5E86" w:rsidP="002F5E86">
      <w:r w:rsidRPr="002F5E86">
        <w:t xml:space="preserve">Next the course moves to an analysis of the </w:t>
      </w:r>
      <w:r w:rsidRPr="00E046F2">
        <w:rPr>
          <w:b/>
        </w:rPr>
        <w:t>factors driving changes in energy markets</w:t>
      </w:r>
      <w:r w:rsidRPr="002F5E86">
        <w:t xml:space="preserve"> – the </w:t>
      </w:r>
      <w:r w:rsidR="0073109C">
        <w:t xml:space="preserve">movements </w:t>
      </w:r>
      <w:r w:rsidRPr="002F5E86">
        <w:t xml:space="preserve">in oil prices, geopolitical and energy security concerns, climate change and the need to decarbonize the economy, the development of shale </w:t>
      </w:r>
      <w:r w:rsidR="00951BCB">
        <w:t xml:space="preserve">oil and </w:t>
      </w:r>
      <w:r w:rsidRPr="002F5E86">
        <w:t>gas supplies</w:t>
      </w:r>
      <w:r w:rsidR="00D128CC">
        <w:t>, the burgeoning competitiveness of renewable energy and in particular the explosive growth of solar power, and the dramatically falling cost of energy storage and the emergence of the energy storage industry</w:t>
      </w:r>
      <w:r w:rsidRPr="002F5E86">
        <w:t xml:space="preserve">. </w:t>
      </w:r>
    </w:p>
    <w:p w14:paraId="2701B0A8" w14:textId="27FB1D27" w:rsidR="002F5E86" w:rsidRPr="002F5E86" w:rsidRDefault="002F5E86" w:rsidP="002F5E86">
      <w:r w:rsidRPr="002F5E86">
        <w:t xml:space="preserve">The next section of the course focuses on </w:t>
      </w:r>
      <w:r w:rsidRPr="00F176D2">
        <w:rPr>
          <w:b/>
        </w:rPr>
        <w:t>specific energy types and their economic and commercial characteristics</w:t>
      </w:r>
      <w:r w:rsidRPr="002F5E86">
        <w:t>. These will include coal, oil, gas</w:t>
      </w:r>
      <w:r w:rsidR="004D58C5">
        <w:t xml:space="preserve"> (both conventional oil and gas and tight oil and gas as produced by fracking</w:t>
      </w:r>
      <w:r w:rsidR="0015160C">
        <w:t xml:space="preserve"> and the controversies over f</w:t>
      </w:r>
      <w:r w:rsidR="00D74CC6">
        <w:t>r</w:t>
      </w:r>
      <w:r w:rsidR="0015160C">
        <w:t>acking)</w:t>
      </w:r>
      <w:r w:rsidRPr="002F5E86">
        <w:t xml:space="preserve">, solar thermal, solar PV, biofuels of various types, geothermal, wind, nuclear, fuel cells and then </w:t>
      </w:r>
      <w:r w:rsidR="0073109C">
        <w:t xml:space="preserve">energy storage and </w:t>
      </w:r>
      <w:r w:rsidRPr="002F5E86">
        <w:t>the use of energy in transportation (hybrid vehicles, hydrogen vehicles, electric vehicles). For each of these energy types we will talk about its general economic and technological ch</w:t>
      </w:r>
      <w:r w:rsidR="00DC3B87">
        <w:t xml:space="preserve">aracteristics and in some cases </w:t>
      </w:r>
      <w:r w:rsidRPr="002F5E86">
        <w:t>profile a company developing this energy type. In the context of renewable such as wind and solar, we will talk about the intermittency of their outputs, the impact of this on the management of the grid and the potential of energy storage technologies.  In the context o</w:t>
      </w:r>
      <w:r w:rsidR="00DC3B87">
        <w:t xml:space="preserve">f fossil </w:t>
      </w:r>
      <w:r w:rsidRPr="002F5E86">
        <w:t>fuels</w:t>
      </w:r>
      <w:r w:rsidR="00F176D2">
        <w:t>,</w:t>
      </w:r>
      <w:r w:rsidRPr="002F5E86">
        <w:t xml:space="preserve"> we will review the potential of technologies that can capture and store the carbon dioxide emitted by power stations.  We will also review energy efficiency and demand management as possible solutions to the energy problem.  We will discuss the policies being adopted by the current administration and their implications for investments in the energy industry, and compare them with those of other countries.</w:t>
      </w:r>
    </w:p>
    <w:p w14:paraId="06E2E87D" w14:textId="77777777" w:rsidR="002F5E86" w:rsidRPr="002F5E86" w:rsidRDefault="002F5E86" w:rsidP="002F5E86">
      <w:r w:rsidRPr="002F5E86">
        <w:t xml:space="preserve">Basic reading for the course will be posted in files </w:t>
      </w:r>
      <w:r w:rsidR="00D74CC6">
        <w:t>on Canvas</w:t>
      </w:r>
      <w:r w:rsidRPr="002F5E86">
        <w:t xml:space="preserve">. In addition, good background reading on renewable energy technologies (but not their economics) can be found in the book “Renewable Energy – Without the Hot Air” by Professor David MacKay of the Cambridge Physics Department, which is available free online in HTML or pdf. formats at </w:t>
      </w:r>
    </w:p>
    <w:p w14:paraId="49FDB384" w14:textId="77777777" w:rsidR="002F5E86" w:rsidRPr="002F5E86" w:rsidRDefault="00411CB5" w:rsidP="002F5E86">
      <w:hyperlink r:id="rId10" w:history="1">
        <w:r w:rsidR="002F5E86" w:rsidRPr="002F5E86">
          <w:rPr>
            <w:rStyle w:val="Hyperlink"/>
          </w:rPr>
          <w:t>http://www.withouthotair.com</w:t>
        </w:r>
      </w:hyperlink>
      <w:r w:rsidR="002F5E86" w:rsidRPr="002F5E86">
        <w:t xml:space="preserve"> .  </w:t>
      </w:r>
    </w:p>
    <w:p w14:paraId="24DC99F5" w14:textId="77777777" w:rsidR="002F5E86" w:rsidRPr="002F5E86" w:rsidRDefault="002F5E86" w:rsidP="002F5E86">
      <w:r w:rsidRPr="002F5E86">
        <w:t xml:space="preserve">This is a very good non-technical introduction to the basic engineering of energy systems and renewable energy technologies. Another basic item for background reading is the </w:t>
      </w:r>
      <w:r w:rsidR="00951BCB">
        <w:t>June 2011</w:t>
      </w:r>
      <w:r w:rsidRPr="002F5E86">
        <w:t xml:space="preserve"> Special Report on Renewable Energy of the Intergovernmental Panel on Climate Change (IPCC): it is available on their web site at </w:t>
      </w:r>
    </w:p>
    <w:p w14:paraId="3E0B1F06" w14:textId="77777777" w:rsidR="002F5E86" w:rsidRPr="002F5E86" w:rsidRDefault="00411CB5" w:rsidP="002F5E86">
      <w:hyperlink r:id="rId11" w:history="1">
        <w:r w:rsidR="002F5E86" w:rsidRPr="002F5E86">
          <w:rPr>
            <w:rStyle w:val="Hyperlink"/>
          </w:rPr>
          <w:t>http://srren.ipcc-wg3.de/report</w:t>
        </w:r>
      </w:hyperlink>
    </w:p>
    <w:p w14:paraId="4BB20CE9" w14:textId="21721D70" w:rsidR="002F5E86" w:rsidRPr="002F5E86" w:rsidRDefault="00F176D2" w:rsidP="002F5E86">
      <w:r>
        <w:t>The main IPCC</w:t>
      </w:r>
      <w:r w:rsidR="002F5E86" w:rsidRPr="002F5E86">
        <w:t xml:space="preserve"> site – </w:t>
      </w:r>
      <w:hyperlink r:id="rId12" w:history="1">
        <w:r w:rsidR="002F5E86" w:rsidRPr="002F5E86">
          <w:rPr>
            <w:rStyle w:val="Hyperlink"/>
          </w:rPr>
          <w:t>www.ippc.ch</w:t>
        </w:r>
      </w:hyperlink>
      <w:r w:rsidR="002F5E86" w:rsidRPr="002F5E86">
        <w:t xml:space="preserve"> - also has a short version of the report for policymakers. This report focuses on the economics of renewable energy, and it and the MacKay book provide good background reading. </w:t>
      </w:r>
    </w:p>
    <w:p w14:paraId="08A6176C" w14:textId="77777777" w:rsidR="002F5E86" w:rsidRPr="002F5E86" w:rsidRDefault="002F5E86" w:rsidP="002F5E86">
      <w:r w:rsidRPr="002F5E86">
        <w:t xml:space="preserve">The course is a mixture of lectures, discussions, and presentations by outside speakers who are experts in some aspect of the energy industry, many of whom are alumni of the School. </w:t>
      </w:r>
    </w:p>
    <w:p w14:paraId="66DD365D" w14:textId="77777777" w:rsidR="002F5E86" w:rsidRPr="002F5E86" w:rsidRDefault="002F5E86" w:rsidP="002F5E86">
      <w:pPr>
        <w:rPr>
          <w:b/>
          <w:sz w:val="24"/>
          <w:szCs w:val="24"/>
        </w:rPr>
      </w:pPr>
      <w:r w:rsidRPr="002F5E86">
        <w:rPr>
          <w:b/>
          <w:sz w:val="24"/>
          <w:szCs w:val="24"/>
        </w:rPr>
        <w:t>Course outline:</w:t>
      </w:r>
    </w:p>
    <w:p w14:paraId="5C8E4747" w14:textId="221F3534" w:rsidR="00587078" w:rsidRPr="002F5E86" w:rsidRDefault="002F5E86" w:rsidP="002F5E86">
      <w:r w:rsidRPr="002F5E86">
        <w:t>Class Sequence – Current Development in Energy Markets – Fall 2</w:t>
      </w:r>
      <w:r w:rsidR="00587078">
        <w:t>018</w:t>
      </w:r>
    </w:p>
    <w:p w14:paraId="51EED57D" w14:textId="77777777" w:rsidR="002F5E86" w:rsidRPr="002F5E86" w:rsidRDefault="002F5E86" w:rsidP="002F5E86">
      <w:pPr>
        <w:pStyle w:val="ListParagraph"/>
        <w:numPr>
          <w:ilvl w:val="0"/>
          <w:numId w:val="6"/>
        </w:numPr>
        <w:spacing w:line="240" w:lineRule="auto"/>
      </w:pPr>
      <w:r w:rsidRPr="002F5E86">
        <w:t>Course Overview and “What is Energy?”</w:t>
      </w:r>
    </w:p>
    <w:p w14:paraId="5280EC48" w14:textId="77777777" w:rsidR="002F5E86" w:rsidRPr="002F5E86" w:rsidRDefault="002F5E86" w:rsidP="002F5E86">
      <w:pPr>
        <w:pStyle w:val="ListParagraph"/>
        <w:numPr>
          <w:ilvl w:val="0"/>
          <w:numId w:val="6"/>
        </w:numPr>
        <w:spacing w:line="240" w:lineRule="auto"/>
      </w:pPr>
      <w:r w:rsidRPr="002F5E86">
        <w:t xml:space="preserve">Costing energy sources – LCOE or Levelized Cost of Electricity </w:t>
      </w:r>
    </w:p>
    <w:p w14:paraId="36F57820" w14:textId="77777777" w:rsidR="002F5E86" w:rsidRPr="002F5E86" w:rsidRDefault="002F5E86" w:rsidP="002F5E86">
      <w:pPr>
        <w:pStyle w:val="ListParagraph"/>
        <w:numPr>
          <w:ilvl w:val="0"/>
          <w:numId w:val="6"/>
        </w:numPr>
        <w:spacing w:line="240" w:lineRule="auto"/>
      </w:pPr>
      <w:r w:rsidRPr="002F5E86">
        <w:t>Energy policy – what are the issues and what are the instruments?</w:t>
      </w:r>
    </w:p>
    <w:p w14:paraId="020E21AB" w14:textId="77777777" w:rsidR="002F5E86" w:rsidRPr="002F5E86" w:rsidRDefault="002F5E86" w:rsidP="002F5E86">
      <w:pPr>
        <w:pStyle w:val="ListParagraph"/>
        <w:numPr>
          <w:ilvl w:val="0"/>
          <w:numId w:val="6"/>
        </w:numPr>
        <w:spacing w:line="240" w:lineRule="auto"/>
      </w:pPr>
      <w:r w:rsidRPr="002F5E86">
        <w:lastRenderedPageBreak/>
        <w:t>Energy policy (cont’d) and Energy Markets in the US</w:t>
      </w:r>
    </w:p>
    <w:p w14:paraId="732E5FE1" w14:textId="6F73D6E7" w:rsidR="002F5E86" w:rsidRPr="002F5E86" w:rsidRDefault="003C3386" w:rsidP="002F5E86">
      <w:pPr>
        <w:pStyle w:val="ListParagraph"/>
        <w:numPr>
          <w:ilvl w:val="0"/>
          <w:numId w:val="6"/>
        </w:numPr>
        <w:spacing w:line="240" w:lineRule="auto"/>
      </w:pPr>
      <w:r>
        <w:t xml:space="preserve">Energy Markets in NY: Presentation by Andy Anderson CEO EnergyWatch, CBS ‘2015 </w:t>
      </w:r>
    </w:p>
    <w:p w14:paraId="552134DF" w14:textId="60B5938D" w:rsidR="002F5E86" w:rsidRPr="002F5E86" w:rsidRDefault="003C3386" w:rsidP="002F5E86">
      <w:pPr>
        <w:pStyle w:val="ListParagraph"/>
        <w:numPr>
          <w:ilvl w:val="0"/>
          <w:numId w:val="6"/>
        </w:numPr>
        <w:spacing w:line="240" w:lineRule="auto"/>
      </w:pPr>
      <w:r>
        <w:t>Climate change – science and policy</w:t>
      </w:r>
    </w:p>
    <w:p w14:paraId="75F642C6" w14:textId="77777777" w:rsidR="002F5E86" w:rsidRPr="002F5E86" w:rsidRDefault="00B076EB" w:rsidP="002F5E86">
      <w:pPr>
        <w:pStyle w:val="ListParagraph"/>
        <w:numPr>
          <w:ilvl w:val="0"/>
          <w:numId w:val="6"/>
        </w:numPr>
        <w:spacing w:line="240" w:lineRule="auto"/>
      </w:pPr>
      <w:r>
        <w:t>Coal and carbon capture and storage (CCS)</w:t>
      </w:r>
    </w:p>
    <w:p w14:paraId="13FA325D" w14:textId="77777777" w:rsidR="003C3386" w:rsidRDefault="003C3386" w:rsidP="003C3386">
      <w:pPr>
        <w:pStyle w:val="ListParagraph"/>
        <w:numPr>
          <w:ilvl w:val="0"/>
          <w:numId w:val="6"/>
        </w:numPr>
        <w:spacing w:line="240" w:lineRule="auto"/>
      </w:pPr>
      <w:r>
        <w:t>Oil prices and why they are volatile</w:t>
      </w:r>
    </w:p>
    <w:p w14:paraId="3D81F462" w14:textId="77777777" w:rsidR="003C3386" w:rsidRDefault="003C3386" w:rsidP="003C3386">
      <w:pPr>
        <w:pStyle w:val="ListParagraph"/>
        <w:numPr>
          <w:ilvl w:val="0"/>
          <w:numId w:val="6"/>
        </w:numPr>
        <w:spacing w:line="240" w:lineRule="auto"/>
      </w:pPr>
      <w:r>
        <w:t>Oil availability</w:t>
      </w:r>
    </w:p>
    <w:p w14:paraId="7814B034" w14:textId="006AE551" w:rsidR="002F5E86" w:rsidRPr="002F5E86" w:rsidRDefault="00B076EB" w:rsidP="003C3386">
      <w:pPr>
        <w:pStyle w:val="ListParagraph"/>
        <w:numPr>
          <w:ilvl w:val="0"/>
          <w:numId w:val="6"/>
        </w:numPr>
        <w:spacing w:line="240" w:lineRule="auto"/>
      </w:pPr>
      <w:r>
        <w:t>Fracking and the natural gas revolution</w:t>
      </w:r>
    </w:p>
    <w:p w14:paraId="332F8D9E" w14:textId="4258ABA2" w:rsidR="0053481D" w:rsidRPr="0053481D" w:rsidRDefault="0053481D" w:rsidP="002F5E86">
      <w:pPr>
        <w:pStyle w:val="ListParagraph"/>
        <w:numPr>
          <w:ilvl w:val="0"/>
          <w:numId w:val="6"/>
        </w:numPr>
        <w:spacing w:line="240" w:lineRule="auto"/>
      </w:pPr>
      <w:r>
        <w:t xml:space="preserve">Tim Boersma, CGEP, Global Gas Markets </w:t>
      </w:r>
    </w:p>
    <w:p w14:paraId="3D893280" w14:textId="1CF70327" w:rsidR="003C3386" w:rsidRDefault="003C3386" w:rsidP="002F5E86">
      <w:pPr>
        <w:pStyle w:val="ListParagraph"/>
        <w:numPr>
          <w:ilvl w:val="0"/>
          <w:numId w:val="6"/>
        </w:numPr>
        <w:spacing w:line="240" w:lineRule="auto"/>
      </w:pPr>
      <w:r>
        <w:t>Presentation by Colin Davis, Alliance Bernstein energy analyst and ex-EVP Hess Oil, on the current outlook for oil and gas markets</w:t>
      </w:r>
    </w:p>
    <w:p w14:paraId="59E8AEC2" w14:textId="4B40C170" w:rsidR="002F5E86" w:rsidRPr="002F5E86" w:rsidRDefault="002F5E86" w:rsidP="002F5E86">
      <w:pPr>
        <w:pStyle w:val="ListParagraph"/>
        <w:numPr>
          <w:ilvl w:val="0"/>
          <w:numId w:val="6"/>
        </w:numPr>
        <w:spacing w:line="240" w:lineRule="auto"/>
      </w:pPr>
      <w:r w:rsidRPr="002F5E86">
        <w:t>Wind</w:t>
      </w:r>
      <w:r w:rsidR="003C3386">
        <w:t xml:space="preserve"> power</w:t>
      </w:r>
    </w:p>
    <w:p w14:paraId="4E852516" w14:textId="40CF127D" w:rsidR="002F5E86" w:rsidRDefault="003C3386" w:rsidP="002F5E86">
      <w:pPr>
        <w:pStyle w:val="ListParagraph"/>
        <w:numPr>
          <w:ilvl w:val="0"/>
          <w:numId w:val="6"/>
        </w:numPr>
        <w:spacing w:line="240" w:lineRule="auto"/>
      </w:pPr>
      <w:r>
        <w:t xml:space="preserve">Wind (continued) and </w:t>
      </w:r>
      <w:r w:rsidR="002F5E86" w:rsidRPr="002F5E86">
        <w:t>Solar Energy</w:t>
      </w:r>
    </w:p>
    <w:p w14:paraId="63051428" w14:textId="085801C5" w:rsidR="003C3386" w:rsidRDefault="00FD1B50" w:rsidP="002F5E86">
      <w:pPr>
        <w:pStyle w:val="ListParagraph"/>
        <w:numPr>
          <w:ilvl w:val="0"/>
          <w:numId w:val="6"/>
        </w:numPr>
        <w:spacing w:line="240" w:lineRule="auto"/>
      </w:pPr>
      <w:r>
        <w:t xml:space="preserve">Solar power </w:t>
      </w:r>
    </w:p>
    <w:p w14:paraId="33488F13" w14:textId="01A5A1B3" w:rsidR="00FD1B50" w:rsidRPr="002F5E86" w:rsidRDefault="00FD1B50" w:rsidP="002F5E86">
      <w:pPr>
        <w:pStyle w:val="ListParagraph"/>
        <w:numPr>
          <w:ilvl w:val="0"/>
          <w:numId w:val="6"/>
        </w:numPr>
        <w:spacing w:line="240" w:lineRule="auto"/>
      </w:pPr>
      <w:r>
        <w:t>Energy storage</w:t>
      </w:r>
    </w:p>
    <w:p w14:paraId="196708D4" w14:textId="77777777" w:rsidR="00FD1B50" w:rsidRDefault="00FD1B50" w:rsidP="00FD1B50">
      <w:pPr>
        <w:pStyle w:val="ListParagraph"/>
        <w:numPr>
          <w:ilvl w:val="0"/>
          <w:numId w:val="6"/>
        </w:numPr>
        <w:spacing w:line="240" w:lineRule="auto"/>
      </w:pPr>
      <w:r>
        <w:t>Energy in transportation</w:t>
      </w:r>
    </w:p>
    <w:p w14:paraId="664E996D" w14:textId="02E3871F" w:rsidR="002F5E86" w:rsidRPr="002F5E86" w:rsidRDefault="00FD1B50" w:rsidP="00FD1B50">
      <w:pPr>
        <w:pStyle w:val="ListParagraph"/>
        <w:numPr>
          <w:ilvl w:val="0"/>
          <w:numId w:val="6"/>
        </w:numPr>
        <w:spacing w:line="240" w:lineRule="auto"/>
      </w:pPr>
      <w:r>
        <w:t xml:space="preserve">Sam Scroggins of Lazard: presentation on LCOE and LCOS </w:t>
      </w:r>
    </w:p>
    <w:p w14:paraId="7060C6AF" w14:textId="17F53A5C" w:rsidR="002F5E86" w:rsidRPr="002F5E86" w:rsidRDefault="00FD1B50" w:rsidP="002F5E86">
      <w:pPr>
        <w:pStyle w:val="ListParagraph"/>
        <w:numPr>
          <w:ilvl w:val="0"/>
          <w:numId w:val="6"/>
        </w:numPr>
        <w:spacing w:line="240" w:lineRule="auto"/>
      </w:pPr>
      <w:r>
        <w:t>Nuclear power</w:t>
      </w:r>
    </w:p>
    <w:p w14:paraId="4BB30A7B" w14:textId="254047F8" w:rsidR="002F5E86" w:rsidRPr="002F5E86" w:rsidRDefault="00FD1B50" w:rsidP="002F5E86">
      <w:pPr>
        <w:pStyle w:val="ListParagraph"/>
        <w:numPr>
          <w:ilvl w:val="0"/>
          <w:numId w:val="6"/>
        </w:numPr>
        <w:spacing w:line="240" w:lineRule="auto"/>
      </w:pPr>
      <w:r>
        <w:t xml:space="preserve">Nuclear continued  </w:t>
      </w:r>
    </w:p>
    <w:p w14:paraId="2EA5E188" w14:textId="10E7EF98" w:rsidR="002F5E86" w:rsidRPr="002F5E86" w:rsidRDefault="00FD1B50" w:rsidP="002F5E86">
      <w:pPr>
        <w:pStyle w:val="ListParagraph"/>
        <w:numPr>
          <w:ilvl w:val="0"/>
          <w:numId w:val="6"/>
        </w:numPr>
        <w:spacing w:line="240" w:lineRule="auto"/>
      </w:pPr>
      <w:r>
        <w:t>David Sandalow of SIPA and CGEP on Energy in China</w:t>
      </w:r>
      <w:r w:rsidR="00B076EB">
        <w:t xml:space="preserve"> </w:t>
      </w:r>
    </w:p>
    <w:p w14:paraId="2CC9F7DF" w14:textId="0C4487E5" w:rsidR="007909EA" w:rsidRDefault="00FD1B50" w:rsidP="002F5E86">
      <w:pPr>
        <w:pStyle w:val="ListParagraph"/>
        <w:numPr>
          <w:ilvl w:val="0"/>
          <w:numId w:val="6"/>
        </w:numPr>
        <w:spacing w:line="240" w:lineRule="auto"/>
      </w:pPr>
      <w:r>
        <w:t xml:space="preserve">Biofuels </w:t>
      </w:r>
    </w:p>
    <w:p w14:paraId="5B36FB34" w14:textId="11C03813" w:rsidR="002F5E86" w:rsidRPr="002F5E86" w:rsidRDefault="004F3FBA" w:rsidP="002F5E86">
      <w:pPr>
        <w:pStyle w:val="ListParagraph"/>
        <w:numPr>
          <w:ilvl w:val="0"/>
          <w:numId w:val="6"/>
        </w:numPr>
        <w:spacing w:line="240" w:lineRule="auto"/>
      </w:pPr>
      <w:r>
        <w:t>Utilities and the Energy Revolution</w:t>
      </w:r>
    </w:p>
    <w:p w14:paraId="62551E49" w14:textId="77777777" w:rsidR="0025614B" w:rsidRDefault="002F5E86" w:rsidP="002F5E86">
      <w:pPr>
        <w:pStyle w:val="ListParagraph"/>
        <w:numPr>
          <w:ilvl w:val="0"/>
          <w:numId w:val="6"/>
        </w:numPr>
        <w:spacing w:line="240" w:lineRule="auto"/>
      </w:pPr>
      <w:r w:rsidRPr="002F5E86">
        <w:t>Course summary and overview</w:t>
      </w:r>
    </w:p>
    <w:p w14:paraId="6A98755D" w14:textId="166EFDFA" w:rsidR="002F5E86" w:rsidRPr="002F5E86" w:rsidRDefault="00AC3D22" w:rsidP="006F32AD">
      <w:pPr>
        <w:spacing w:line="240" w:lineRule="auto"/>
      </w:pPr>
      <w:r>
        <w:t>Five</w:t>
      </w:r>
      <w:r w:rsidR="00F176D2">
        <w:t xml:space="preserve"> sessions will be le</w:t>
      </w:r>
      <w:r w:rsidR="0025614B">
        <w:t xml:space="preserve">d by outside speakers with industry expertise. </w:t>
      </w:r>
    </w:p>
    <w:p w14:paraId="75DB6EE3" w14:textId="6BDE2D97" w:rsidR="002F5E86" w:rsidRPr="002F5E86" w:rsidRDefault="00DE4FE8" w:rsidP="002F5E86">
      <w:pPr>
        <w:spacing w:before="120" w:after="360"/>
      </w:pPr>
      <w:r>
        <w:rPr>
          <w:b/>
        </w:rPr>
        <w:t xml:space="preserve">All assessment exercises are </w:t>
      </w:r>
      <w:r w:rsidR="002F5E86" w:rsidRPr="002F5E86">
        <w:rPr>
          <w:b/>
        </w:rPr>
        <w:t>to be completed in teams of 4 or 5 students.</w:t>
      </w:r>
      <w:r w:rsidR="002F5E86" w:rsidRPr="002F5E86">
        <w:t xml:space="preserve"> Allocation of grades will be based on the following formula:</w:t>
      </w:r>
    </w:p>
    <w:p w14:paraId="63C89B91" w14:textId="76A78BBD" w:rsidR="00D74CC6" w:rsidRDefault="002F5E86" w:rsidP="002F5E86">
      <w:pPr>
        <w:spacing w:before="120" w:after="360"/>
        <w:rPr>
          <w:b/>
        </w:rPr>
      </w:pPr>
      <w:r w:rsidRPr="002F5E86">
        <w:t xml:space="preserve">The firm evaluation and the term paper should not exceed 15 pages single-spaced. </w:t>
      </w:r>
      <w:r w:rsidRPr="002F5E86">
        <w:rPr>
          <w:b/>
        </w:rPr>
        <w:t>Both are due by t</w:t>
      </w:r>
      <w:r w:rsidR="00000682">
        <w:rPr>
          <w:b/>
        </w:rPr>
        <w:t>he end of the day on December 14 2018</w:t>
      </w:r>
      <w:r w:rsidRPr="002F5E86">
        <w:rPr>
          <w:b/>
        </w:rPr>
        <w:t xml:space="preserve">. </w:t>
      </w:r>
    </w:p>
    <w:p w14:paraId="2204F87F" w14:textId="77777777" w:rsidR="00D74CC6" w:rsidRDefault="00D74CC6" w:rsidP="002F5E86">
      <w:pPr>
        <w:spacing w:before="120" w:after="360"/>
        <w:rPr>
          <w:b/>
        </w:rPr>
      </w:pPr>
      <w:r>
        <w:rPr>
          <w:b/>
        </w:rPr>
        <w:t>Here is some more information about what is expected in the two papers:</w:t>
      </w:r>
    </w:p>
    <w:p w14:paraId="761759F3" w14:textId="77777777" w:rsidR="006F32AD" w:rsidRDefault="006F32AD" w:rsidP="002F5E86">
      <w:pPr>
        <w:spacing w:before="120" w:after="360"/>
        <w:rPr>
          <w:b/>
        </w:rPr>
      </w:pPr>
    </w:p>
    <w:p w14:paraId="2B6BBF5E" w14:textId="77777777" w:rsidR="006F32AD" w:rsidRDefault="006F32AD" w:rsidP="006F32AD">
      <w:pPr>
        <w:spacing w:before="120" w:after="360"/>
      </w:pPr>
      <w:r w:rsidRPr="002F5E86">
        <w:rPr>
          <w:b/>
        </w:rPr>
        <w:t>Assessment</w:t>
      </w:r>
      <w:r>
        <w:t>.</w:t>
      </w:r>
    </w:p>
    <w:p w14:paraId="62D53843" w14:textId="77777777" w:rsidR="006F32AD" w:rsidRDefault="006F32AD" w:rsidP="006F32AD">
      <w:pPr>
        <w:spacing w:before="120" w:after="360"/>
      </w:pPr>
      <w:r w:rsidRPr="002F5E86">
        <w:t xml:space="preserve"> </w:t>
      </w:r>
      <w:r>
        <w:t>By</w:t>
      </w:r>
      <w:r w:rsidRPr="002F5E86">
        <w:t xml:space="preserve"> the end of the mid-term break you have to write a </w:t>
      </w:r>
      <w:r w:rsidRPr="002F5E86">
        <w:rPr>
          <w:b/>
        </w:rPr>
        <w:t>short</w:t>
      </w:r>
      <w:r>
        <w:t xml:space="preserve"> (2-</w:t>
      </w:r>
      <w:r w:rsidRPr="002F5E86">
        <w:t xml:space="preserve">page maximum) </w:t>
      </w:r>
      <w:r w:rsidRPr="0051411A">
        <w:rPr>
          <w:b/>
        </w:rPr>
        <w:t>briefing</w:t>
      </w:r>
      <w:r w:rsidRPr="002F5E86">
        <w:t xml:space="preserve"> on one of the topics covered in</w:t>
      </w:r>
      <w:r>
        <w:t xml:space="preserve"> the first half of the semester, the first 12 sessions, </w:t>
      </w:r>
      <w:r w:rsidRPr="002F5E86">
        <w:t xml:space="preserve">– oil, coal, gas, </w:t>
      </w:r>
      <w:r>
        <w:t xml:space="preserve">regulation and policies, power markets, </w:t>
      </w:r>
      <w:r w:rsidRPr="002F5E86">
        <w:t xml:space="preserve">etc. </w:t>
      </w:r>
      <w:r>
        <w:t>You could focus on a subsector of one of these sectors – for example the oilfield services sector (these are the companies who actually carry out exploration and drilling), or fracking for gas, or the growth of trade in LNG. The briefing is due by the first class after the mid-term break – that is by 10/24</w:t>
      </w:r>
    </w:p>
    <w:p w14:paraId="5F993B02" w14:textId="28DC3F41" w:rsidR="006F32AD" w:rsidRDefault="006F32AD" w:rsidP="006F32AD">
      <w:pPr>
        <w:spacing w:before="120" w:after="360"/>
      </w:pPr>
      <w:r>
        <w:t xml:space="preserve">. </w:t>
      </w:r>
    </w:p>
    <w:p w14:paraId="1479AEF8" w14:textId="77777777" w:rsidR="006F32AD" w:rsidRDefault="006F32AD" w:rsidP="006F32AD">
      <w:pPr>
        <w:spacing w:before="120" w:after="360"/>
      </w:pPr>
      <w:r>
        <w:lastRenderedPageBreak/>
        <w:t>B</w:t>
      </w:r>
      <w:r w:rsidRPr="002F5E86">
        <w:t>y the end of the semester you have to write</w:t>
      </w:r>
      <w:r>
        <w:t xml:space="preserve"> two more items -</w:t>
      </w:r>
      <w:r w:rsidRPr="002F5E86">
        <w:t xml:space="preserve"> an evaluation of a company in the energy area broadly defined and write a term paper on one of the energy topics covered in class (i.e. </w:t>
      </w:r>
      <w:r>
        <w:t xml:space="preserve">onshore </w:t>
      </w:r>
      <w:r w:rsidRPr="002F5E86">
        <w:t>wind,</w:t>
      </w:r>
      <w:r>
        <w:t xml:space="preserve"> offshore wind,</w:t>
      </w:r>
      <w:r w:rsidRPr="002F5E86">
        <w:t xml:space="preserve"> solar PV,</w:t>
      </w:r>
      <w:r>
        <w:t xml:space="preserve"> solar thermal,</w:t>
      </w:r>
      <w:r w:rsidRPr="002F5E86">
        <w:t xml:space="preserve"> </w:t>
      </w:r>
      <w:r>
        <w:t xml:space="preserve">energy </w:t>
      </w:r>
      <w:r w:rsidRPr="002F5E86">
        <w:t>storage, energy in transportation, ……).</w:t>
      </w:r>
      <w:r>
        <w:t xml:space="preserve"> The topic you choose does not have to be as big as those I just listed – you could focus on a subpart of one of these industries such as the offshore wind supply chain or the use of batteries by utilities in California. </w:t>
      </w:r>
      <w:r w:rsidRPr="002F5E86">
        <w:t xml:space="preserve"> This should be a </w:t>
      </w:r>
      <w:r w:rsidRPr="002F5E86">
        <w:rPr>
          <w:b/>
        </w:rPr>
        <w:t>different</w:t>
      </w:r>
      <w:r w:rsidRPr="002F5E86">
        <w:t xml:space="preserve"> topic from the topic of the briefing.  The firm whose profile you write can be in one of the industries covered in the briefing or the term paper. </w:t>
      </w:r>
      <w:r>
        <w:t xml:space="preserve">You will also have to complete a computational problem concerning LCOEs. </w:t>
      </w:r>
    </w:p>
    <w:p w14:paraId="1B3A2182" w14:textId="77777777" w:rsidR="006F32AD" w:rsidRDefault="006F32AD" w:rsidP="006F32AD">
      <w:r>
        <w:t xml:space="preserve">The </w:t>
      </w:r>
      <w:r w:rsidRPr="00F92839">
        <w:rPr>
          <w:b/>
        </w:rPr>
        <w:t>firm review</w:t>
      </w:r>
      <w:r>
        <w:t xml:space="preserve"> should give a brief history of the company, and a summary of its financial position (earnings, assets, liabilities etc). There should then be an analysis of its competitive position in its market, its strengths and weaknesses, and its main competitors. I also want to see a discussion of what distinguishes this company – if anything – from its competitors, and what is its business plan. Finally, what do you think of the company? Would you invest? This last point is the main one – I want to see your reasoned evaluation of the company. </w:t>
      </w:r>
    </w:p>
    <w:p w14:paraId="202441A9" w14:textId="77777777" w:rsidR="006F32AD" w:rsidRDefault="006F32AD" w:rsidP="006F32AD">
      <w:r>
        <w:t xml:space="preserve">The </w:t>
      </w:r>
      <w:r w:rsidRPr="0051411A">
        <w:rPr>
          <w:b/>
        </w:rPr>
        <w:t>term paper</w:t>
      </w:r>
      <w:r>
        <w:t xml:space="preserve"> can take any topic – such as energy efficiency, or demand management, or electric vehicles, or LNG, or nuclear power, or solar PV, or off-grid solar, …….. . I want a short history of this area and how it got where it is, a review of what is happening now, and where you think it will be going. Finally, is it an area in which it is possible to invest, how would one invest, and would that be a smart thing to do? </w:t>
      </w:r>
    </w:p>
    <w:p w14:paraId="29F7A42C" w14:textId="77777777" w:rsidR="006F32AD" w:rsidRDefault="006F32AD" w:rsidP="006F32AD">
      <w:r>
        <w:t xml:space="preserve">Both papers should be written as for investors who are thinking of becoming involved in the firm (firm review) or energy field (term paper). </w:t>
      </w:r>
    </w:p>
    <w:p w14:paraId="1C61F32B" w14:textId="77777777" w:rsidR="006F32AD" w:rsidRPr="002F5E86" w:rsidRDefault="006F32AD" w:rsidP="006F32AD">
      <w:pPr>
        <w:spacing w:before="120" w:after="360"/>
      </w:pPr>
    </w:p>
    <w:p w14:paraId="74BA8186" w14:textId="4DC85D72" w:rsidR="006F32AD" w:rsidRPr="002F5E86" w:rsidRDefault="006F32AD" w:rsidP="006F32AD">
      <w:pPr>
        <w:spacing w:before="120" w:after="360"/>
      </w:pPr>
      <w:r>
        <w:rPr>
          <w:b/>
        </w:rPr>
        <w:t>All assessment exercises</w:t>
      </w:r>
      <w:r w:rsidRPr="002F5E86">
        <w:rPr>
          <w:b/>
        </w:rPr>
        <w:t xml:space="preserve"> are to be completed in teams of 4 or 5 students.</w:t>
      </w:r>
      <w:r w:rsidRPr="002F5E86">
        <w:t xml:space="preserve"> Allocation of grades will be based on the following formula:</w:t>
      </w:r>
    </w:p>
    <w:p w14:paraId="3207E7C5" w14:textId="77777777" w:rsidR="006F32AD" w:rsidRDefault="006F32AD" w:rsidP="006F32AD">
      <w:pPr>
        <w:pStyle w:val="ListParagraph"/>
        <w:numPr>
          <w:ilvl w:val="0"/>
          <w:numId w:val="10"/>
        </w:numPr>
        <w:spacing w:before="120" w:after="360" w:line="240" w:lineRule="auto"/>
      </w:pPr>
      <w:r w:rsidRPr="002F5E86">
        <w:t>Class participation 5%</w:t>
      </w:r>
    </w:p>
    <w:p w14:paraId="74532E3B" w14:textId="77777777" w:rsidR="006F32AD" w:rsidRPr="002F5E86" w:rsidRDefault="006F32AD" w:rsidP="006F32AD">
      <w:pPr>
        <w:pStyle w:val="ListParagraph"/>
        <w:numPr>
          <w:ilvl w:val="0"/>
          <w:numId w:val="10"/>
        </w:numPr>
        <w:spacing w:before="120" w:after="360" w:line="240" w:lineRule="auto"/>
      </w:pPr>
      <w:r>
        <w:t>LCOE problem 10%</w:t>
      </w:r>
    </w:p>
    <w:p w14:paraId="36217A15" w14:textId="77777777" w:rsidR="006F32AD" w:rsidRPr="002F5E86" w:rsidRDefault="006F32AD" w:rsidP="006F32AD">
      <w:pPr>
        <w:pStyle w:val="ListParagraph"/>
        <w:numPr>
          <w:ilvl w:val="0"/>
          <w:numId w:val="10"/>
        </w:numPr>
        <w:spacing w:before="120" w:after="360" w:line="240" w:lineRule="auto"/>
      </w:pPr>
      <w:r>
        <w:t>Briefing 1</w:t>
      </w:r>
      <w:r w:rsidRPr="002F5E86">
        <w:t>5%</w:t>
      </w:r>
    </w:p>
    <w:p w14:paraId="3D5539CB" w14:textId="77777777" w:rsidR="006F32AD" w:rsidRPr="002F5E86" w:rsidRDefault="006F32AD" w:rsidP="006F32AD">
      <w:pPr>
        <w:pStyle w:val="ListParagraph"/>
        <w:numPr>
          <w:ilvl w:val="0"/>
          <w:numId w:val="10"/>
        </w:numPr>
        <w:spacing w:before="120" w:after="360" w:line="240" w:lineRule="auto"/>
      </w:pPr>
      <w:r>
        <w:t>Company review 30</w:t>
      </w:r>
      <w:r w:rsidRPr="002F5E86">
        <w:t>%</w:t>
      </w:r>
    </w:p>
    <w:p w14:paraId="0996E323" w14:textId="77777777" w:rsidR="006F32AD" w:rsidRPr="002F5E86" w:rsidRDefault="006F32AD" w:rsidP="006F32AD">
      <w:pPr>
        <w:pStyle w:val="ListParagraph"/>
        <w:numPr>
          <w:ilvl w:val="0"/>
          <w:numId w:val="10"/>
        </w:numPr>
        <w:spacing w:before="120" w:after="360" w:line="240" w:lineRule="auto"/>
      </w:pPr>
      <w:r>
        <w:t>Term paper 40</w:t>
      </w:r>
      <w:r w:rsidRPr="002F5E86">
        <w:t>%</w:t>
      </w:r>
    </w:p>
    <w:p w14:paraId="7C9466A4" w14:textId="01144C2A" w:rsidR="006F32AD" w:rsidRDefault="006F32AD" w:rsidP="006F32AD">
      <w:pPr>
        <w:spacing w:before="120" w:after="360"/>
        <w:rPr>
          <w:b/>
        </w:rPr>
      </w:pPr>
      <w:r w:rsidRPr="002F5E86">
        <w:t xml:space="preserve">The firm evaluation and the term paper should not exceed 15 pages single-spaced. </w:t>
      </w:r>
      <w:r w:rsidRPr="002F5E86">
        <w:rPr>
          <w:b/>
        </w:rPr>
        <w:t>Both are due by t</w:t>
      </w:r>
      <w:r>
        <w:rPr>
          <w:b/>
        </w:rPr>
        <w:t>he end of the day on December 14</w:t>
      </w:r>
      <w:r w:rsidRPr="002F5E86">
        <w:rPr>
          <w:b/>
        </w:rPr>
        <w:t xml:space="preserve">. </w:t>
      </w:r>
    </w:p>
    <w:p w14:paraId="4A88B403" w14:textId="77777777" w:rsidR="002F5E86" w:rsidRPr="002F5E86" w:rsidRDefault="002F5E86" w:rsidP="002F5E86">
      <w:pPr>
        <w:spacing w:before="120" w:after="360"/>
        <w:rPr>
          <w:b/>
        </w:rPr>
      </w:pPr>
    </w:p>
    <w:p w14:paraId="796EAB62" w14:textId="77777777" w:rsidR="0063563F" w:rsidRPr="00535F4E" w:rsidRDefault="0063563F" w:rsidP="002F5E86">
      <w:pPr>
        <w:rPr>
          <w:b/>
        </w:rPr>
      </w:pPr>
    </w:p>
    <w:sectPr w:rsidR="0063563F" w:rsidRPr="00535F4E"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7166" w14:textId="77777777" w:rsidR="00411CB5" w:rsidRDefault="00411CB5" w:rsidP="00934BFC">
      <w:pPr>
        <w:spacing w:after="0" w:line="240" w:lineRule="auto"/>
      </w:pPr>
      <w:r>
        <w:separator/>
      </w:r>
    </w:p>
  </w:endnote>
  <w:endnote w:type="continuationSeparator" w:id="0">
    <w:p w14:paraId="6780C3B7" w14:textId="77777777" w:rsidR="00411CB5" w:rsidRDefault="00411CB5"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9F25" w14:textId="77777777" w:rsidR="00D97DBF" w:rsidRDefault="00D97DBF">
    <w:pPr>
      <w:pStyle w:val="Footer"/>
    </w:pPr>
    <w:r>
      <w:t xml:space="preserve">Page </w:t>
    </w:r>
    <w:r w:rsidR="00117618">
      <w:fldChar w:fldCharType="begin"/>
    </w:r>
    <w:r w:rsidR="00117618">
      <w:instrText xml:space="preserve"> PAGE  \* Arabic  \* MERGEFORMAT </w:instrText>
    </w:r>
    <w:r w:rsidR="00117618">
      <w:fldChar w:fldCharType="separate"/>
    </w:r>
    <w:r w:rsidR="003771F0" w:rsidRPr="003771F0">
      <w:rPr>
        <w:b/>
        <w:noProof/>
      </w:rPr>
      <w:t>1</w:t>
    </w:r>
    <w:r w:rsidR="00117618">
      <w:rPr>
        <w:b/>
        <w:noProof/>
      </w:rPr>
      <w:fldChar w:fldCharType="end"/>
    </w:r>
    <w:r>
      <w:t xml:space="preserve"> of </w:t>
    </w:r>
    <w:fldSimple w:instr=" NUMPAGES  \* Arabic  \* MERGEFORMAT ">
      <w:r w:rsidR="003771F0" w:rsidRPr="003771F0">
        <w:rPr>
          <w:b/>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5A44D" w14:textId="77777777" w:rsidR="00411CB5" w:rsidRDefault="00411CB5" w:rsidP="00934BFC">
      <w:pPr>
        <w:spacing w:after="0" w:line="240" w:lineRule="auto"/>
      </w:pPr>
      <w:r>
        <w:separator/>
      </w:r>
    </w:p>
  </w:footnote>
  <w:footnote w:type="continuationSeparator" w:id="0">
    <w:p w14:paraId="651C89E2" w14:textId="77777777" w:rsidR="00411CB5" w:rsidRDefault="00411CB5"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7A82" w14:textId="77777777" w:rsidR="00D97DBF" w:rsidRDefault="00D97DBF" w:rsidP="00573C56">
    <w:pPr>
      <w:pStyle w:val="Header"/>
      <w:jc w:val="both"/>
    </w:pPr>
    <w:r>
      <w:rPr>
        <w:noProof/>
      </w:rPr>
      <w:ptab w:relativeTo="margin" w:alignment="left" w:leader="none"/>
    </w:r>
    <w:r>
      <w:rPr>
        <w:noProof/>
      </w:rPr>
      <w:drawing>
        <wp:inline distT="0" distB="0" distL="0" distR="0" wp14:anchorId="5D72A340" wp14:editId="11EDB5E1">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84BF6"/>
    <w:multiLevelType w:val="multilevel"/>
    <w:tmpl w:val="B9EA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8A3001"/>
    <w:multiLevelType w:val="multilevel"/>
    <w:tmpl w:val="B47E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BC74BE"/>
    <w:multiLevelType w:val="multilevel"/>
    <w:tmpl w:val="CA6C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866D6C"/>
    <w:multiLevelType w:val="hybridMultilevel"/>
    <w:tmpl w:val="FDBC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373D1"/>
    <w:multiLevelType w:val="hybridMultilevel"/>
    <w:tmpl w:val="D7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10339"/>
    <w:multiLevelType w:val="hybridMultilevel"/>
    <w:tmpl w:val="FDBC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9"/>
  </w:num>
  <w:num w:numId="5">
    <w:abstractNumId w:val="6"/>
  </w:num>
  <w:num w:numId="6">
    <w:abstractNumId w:val="7"/>
  </w:num>
  <w:num w:numId="7">
    <w:abstractNumId w:val="4"/>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0682"/>
    <w:rsid w:val="000E2348"/>
    <w:rsid w:val="00117618"/>
    <w:rsid w:val="0014219E"/>
    <w:rsid w:val="0015160C"/>
    <w:rsid w:val="00182ABC"/>
    <w:rsid w:val="001A3FCC"/>
    <w:rsid w:val="001D55F6"/>
    <w:rsid w:val="0025614B"/>
    <w:rsid w:val="002F54E1"/>
    <w:rsid w:val="002F5E86"/>
    <w:rsid w:val="003771F0"/>
    <w:rsid w:val="003C3386"/>
    <w:rsid w:val="003F53DA"/>
    <w:rsid w:val="00411CB5"/>
    <w:rsid w:val="00483DE1"/>
    <w:rsid w:val="004D58C5"/>
    <w:rsid w:val="004F3FBA"/>
    <w:rsid w:val="0051411A"/>
    <w:rsid w:val="0053481D"/>
    <w:rsid w:val="00535F4E"/>
    <w:rsid w:val="00573C56"/>
    <w:rsid w:val="00587078"/>
    <w:rsid w:val="005A6147"/>
    <w:rsid w:val="0063563F"/>
    <w:rsid w:val="006F32AD"/>
    <w:rsid w:val="0071085B"/>
    <w:rsid w:val="0073109C"/>
    <w:rsid w:val="007909EA"/>
    <w:rsid w:val="007C14C5"/>
    <w:rsid w:val="00884F64"/>
    <w:rsid w:val="008E4AA1"/>
    <w:rsid w:val="00934BFC"/>
    <w:rsid w:val="00951BCB"/>
    <w:rsid w:val="009F7906"/>
    <w:rsid w:val="00A46929"/>
    <w:rsid w:val="00AC3D22"/>
    <w:rsid w:val="00AF0275"/>
    <w:rsid w:val="00AF3E9E"/>
    <w:rsid w:val="00AF6E46"/>
    <w:rsid w:val="00B076EB"/>
    <w:rsid w:val="00BC6773"/>
    <w:rsid w:val="00C1780B"/>
    <w:rsid w:val="00CA38B8"/>
    <w:rsid w:val="00D128CC"/>
    <w:rsid w:val="00D74CC6"/>
    <w:rsid w:val="00D97DBF"/>
    <w:rsid w:val="00DA6EF2"/>
    <w:rsid w:val="00DB507F"/>
    <w:rsid w:val="00DC3B87"/>
    <w:rsid w:val="00DE174D"/>
    <w:rsid w:val="00DE4FE8"/>
    <w:rsid w:val="00E046F2"/>
    <w:rsid w:val="00E17AC8"/>
    <w:rsid w:val="00F054EB"/>
    <w:rsid w:val="00F176D2"/>
    <w:rsid w:val="00FD1B50"/>
    <w:rsid w:val="00FF7C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B9D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A5CDD"/>
    <w:rPr>
      <w:rFonts w:ascii="Lucida Grande" w:hAnsi="Lucida Grande"/>
      <w:sz w:val="18"/>
      <w:szCs w:val="18"/>
    </w:rPr>
  </w:style>
  <w:style w:type="character" w:customStyle="1" w:styleId="BalloonTextChar0">
    <w:name w:val="Balloon Text Char"/>
    <w:basedOn w:val="DefaultParagraphFont"/>
    <w:uiPriority w:val="99"/>
    <w:semiHidden/>
    <w:rsid w:val="006358E4"/>
    <w:rPr>
      <w:rFonts w:ascii="Lucida Grande" w:hAnsi="Lucida Grande" w:cs="Lucida Grande"/>
      <w:sz w:val="18"/>
      <w:szCs w:val="18"/>
    </w:rPr>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character" w:customStyle="1" w:styleId="BalloonTextChar1">
    <w:name w:val="Balloon Text Char1"/>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2F5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ren.ipcc-wg3.de/report" TargetMode="External"/><Relationship Id="rId12" Type="http://schemas.openxmlformats.org/officeDocument/2006/relationships/hyperlink" Target="http://www.ippc.c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mailto:gmh1@gsb.columbia.edu" TargetMode="External"/><Relationship Id="rId10" Type="http://schemas.openxmlformats.org/officeDocument/2006/relationships/hyperlink" Target="http://www.withouthot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Heal, Geoffrey</cp:lastModifiedBy>
  <cp:revision>2</cp:revision>
  <dcterms:created xsi:type="dcterms:W3CDTF">2018-06-12T19:58:00Z</dcterms:created>
  <dcterms:modified xsi:type="dcterms:W3CDTF">2018-06-12T19:58:00Z</dcterms:modified>
</cp:coreProperties>
</file>