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3" w:type="dxa"/>
        <w:tblLook w:val="04A0" w:firstRow="1" w:lastRow="0" w:firstColumn="1" w:lastColumn="0" w:noHBand="0" w:noVBand="1"/>
      </w:tblPr>
      <w:tblGrid>
        <w:gridCol w:w="4743"/>
        <w:gridCol w:w="5120"/>
      </w:tblGrid>
      <w:tr w:rsidR="00F6530A">
        <w:tc>
          <w:tcPr>
            <w:tcW w:w="4743" w:type="dxa"/>
            <w:shd w:val="clear" w:color="auto" w:fill="FFFFFF"/>
          </w:tcPr>
          <w:p w:rsidR="00F6530A" w:rsidRDefault="001C1731">
            <w:pPr>
              <w:pStyle w:val="Heading7"/>
              <w:rPr>
                <w:rFonts w:asciiTheme="minorHAnsi" w:hAnsiTheme="minorHAnsi"/>
                <w:sz w:val="24"/>
                <w:szCs w:val="24"/>
              </w:rPr>
            </w:pPr>
            <w:r>
              <w:rPr>
                <w:rFonts w:asciiTheme="minorHAnsi" w:hAnsiTheme="minorHAnsi"/>
                <w:sz w:val="24"/>
                <w:szCs w:val="24"/>
              </w:rPr>
              <w:t>PRICING STRATEGIES</w:t>
            </w:r>
          </w:p>
          <w:p w:rsidR="00F6530A" w:rsidRDefault="001C1731">
            <w:pPr>
              <w:pStyle w:val="Heading7"/>
              <w:rPr>
                <w:rFonts w:asciiTheme="minorHAnsi" w:hAnsiTheme="minorHAnsi"/>
                <w:sz w:val="24"/>
                <w:szCs w:val="24"/>
              </w:rPr>
            </w:pPr>
            <w:r>
              <w:rPr>
                <w:rFonts w:asciiTheme="minorHAnsi" w:hAnsiTheme="minorHAnsi"/>
                <w:sz w:val="24"/>
                <w:szCs w:val="24"/>
              </w:rPr>
              <w:t>SPRING 2017 MBA</w:t>
            </w:r>
          </w:p>
          <w:p w:rsidR="00F6530A" w:rsidRDefault="001C1731">
            <w:pPr>
              <w:rPr>
                <w:rFonts w:asciiTheme="minorHAnsi" w:hAnsiTheme="minorHAnsi"/>
                <w:b/>
                <w:szCs w:val="24"/>
              </w:rPr>
            </w:pPr>
            <w:r>
              <w:rPr>
                <w:rFonts w:asciiTheme="minorHAnsi" w:hAnsiTheme="minorHAnsi"/>
                <w:b/>
                <w:szCs w:val="24"/>
              </w:rPr>
              <w:t>B8649 – HALF Semester (B Term)</w:t>
            </w:r>
          </w:p>
          <w:p w:rsidR="00F6530A" w:rsidRDefault="00F6530A">
            <w:pPr>
              <w:jc w:val="center"/>
              <w:rPr>
                <w:rFonts w:asciiTheme="minorHAnsi" w:hAnsiTheme="minorHAnsi"/>
                <w:sz w:val="22"/>
                <w:szCs w:val="22"/>
              </w:rPr>
            </w:pPr>
          </w:p>
        </w:tc>
        <w:tc>
          <w:tcPr>
            <w:tcW w:w="5119" w:type="dxa"/>
            <w:shd w:val="clear" w:color="auto" w:fill="FFFFFF"/>
          </w:tcPr>
          <w:p w:rsidR="00F6530A" w:rsidRDefault="001C1731">
            <w:pPr>
              <w:pStyle w:val="Heading7"/>
              <w:jc w:val="right"/>
              <w:rPr>
                <w:rFonts w:asciiTheme="minorHAnsi" w:hAnsiTheme="minorHAnsi"/>
              </w:rPr>
            </w:pPr>
            <w:r>
              <w:rPr>
                <w:noProof/>
              </w:rPr>
              <w:drawing>
                <wp:inline distT="0" distB="0" distL="0" distR="0">
                  <wp:extent cx="3094990" cy="361950"/>
                  <wp:effectExtent l="0" t="0" r="0" b="0"/>
                  <wp:docPr id="1" name="Picture"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hite"/>
                          <pic:cNvPicPr>
                            <a:picLocks noChangeAspect="1" noChangeArrowheads="1"/>
                          </pic:cNvPicPr>
                        </pic:nvPicPr>
                        <pic:blipFill>
                          <a:blip r:embed="rId7"/>
                          <a:stretch>
                            <a:fillRect/>
                          </a:stretch>
                        </pic:blipFill>
                        <pic:spPr bwMode="auto">
                          <a:xfrm>
                            <a:off x="0" y="0"/>
                            <a:ext cx="3094990" cy="361950"/>
                          </a:xfrm>
                          <a:prstGeom prst="rect">
                            <a:avLst/>
                          </a:prstGeom>
                        </pic:spPr>
                      </pic:pic>
                    </a:graphicData>
                  </a:graphic>
                </wp:inline>
              </w:drawing>
            </w:r>
          </w:p>
        </w:tc>
      </w:tr>
    </w:tbl>
    <w:p w:rsidR="00F6530A" w:rsidRDefault="00F6530A">
      <w:pPr>
        <w:pStyle w:val="Heading7"/>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b/>
          <w:szCs w:val="24"/>
        </w:rPr>
        <w:t>Location:</w:t>
      </w:r>
      <w:r>
        <w:rPr>
          <w:rFonts w:asciiTheme="minorHAnsi" w:hAnsiTheme="minorHAnsi"/>
          <w:sz w:val="22"/>
          <w:szCs w:val="22"/>
        </w:rPr>
        <w:tab/>
      </w:r>
      <w:r>
        <w:rPr>
          <w:rFonts w:asciiTheme="minorHAnsi" w:hAnsiTheme="minorHAnsi"/>
          <w:sz w:val="22"/>
          <w:szCs w:val="22"/>
        </w:rPr>
        <w:tab/>
        <w:t xml:space="preserve">Uris: </w:t>
      </w:r>
      <w:r>
        <w:rPr>
          <w:rFonts w:asciiTheme="minorHAnsi" w:hAnsiTheme="minorHAnsi"/>
          <w:sz w:val="22"/>
          <w:szCs w:val="22"/>
        </w:rPr>
        <w:tab/>
        <w:t>330 T/R, 10:45 AM to 12:15 PM</w:t>
      </w:r>
    </w:p>
    <w:p w:rsidR="00F6530A" w:rsidRDefault="001C1731">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WJW: </w:t>
      </w:r>
      <w:r>
        <w:rPr>
          <w:rFonts w:asciiTheme="minorHAnsi" w:hAnsiTheme="minorHAnsi"/>
          <w:sz w:val="22"/>
          <w:szCs w:val="22"/>
        </w:rPr>
        <w:tab/>
        <w:t>311: T/R, 2:15 PM to 3:45 PM</w:t>
      </w:r>
    </w:p>
    <w:p w:rsidR="00F6530A" w:rsidRDefault="001C1731">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6530A" w:rsidRDefault="001C1731">
      <w:pPr>
        <w:rPr>
          <w:rFonts w:asciiTheme="minorHAnsi" w:hAnsiTheme="minorHAnsi"/>
          <w:sz w:val="22"/>
          <w:szCs w:val="22"/>
        </w:rPr>
      </w:pPr>
      <w:r>
        <w:rPr>
          <w:rFonts w:asciiTheme="minorHAnsi" w:hAnsiTheme="minorHAnsi"/>
          <w:b/>
          <w:szCs w:val="24"/>
        </w:rPr>
        <w:t>Professor:</w:t>
      </w:r>
      <w:r>
        <w:rPr>
          <w:rFonts w:asciiTheme="minorHAnsi" w:hAnsiTheme="minorHAnsi"/>
          <w:b/>
          <w:sz w:val="22"/>
          <w:szCs w:val="22"/>
        </w:rPr>
        <w:tab/>
      </w:r>
      <w:r>
        <w:rPr>
          <w:rFonts w:asciiTheme="minorHAnsi" w:hAnsiTheme="minorHAnsi"/>
          <w:sz w:val="22"/>
          <w:szCs w:val="22"/>
        </w:rPr>
        <w:tab/>
        <w:t>Asim Ansari</w:t>
      </w:r>
    </w:p>
    <w:p w:rsidR="00F6530A" w:rsidRDefault="00F6530A">
      <w:pP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b/>
          <w:szCs w:val="24"/>
        </w:rPr>
        <w:t>Contact info:</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Email:</w:t>
      </w:r>
      <w:r>
        <w:rPr>
          <w:rFonts w:asciiTheme="minorHAnsi" w:hAnsiTheme="minorHAnsi"/>
          <w:sz w:val="22"/>
          <w:szCs w:val="22"/>
        </w:rPr>
        <w:tab/>
      </w:r>
      <w:r>
        <w:rPr>
          <w:rFonts w:asciiTheme="minorHAnsi" w:hAnsiTheme="minorHAnsi"/>
          <w:sz w:val="22"/>
          <w:szCs w:val="22"/>
        </w:rPr>
        <w:tab/>
        <w:t>maa48@gsb.columbia.edu</w:t>
      </w:r>
    </w:p>
    <w:p w:rsidR="00F6530A" w:rsidRDefault="001C1731">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Phone:</w:t>
      </w:r>
      <w:r>
        <w:rPr>
          <w:rFonts w:asciiTheme="minorHAnsi" w:hAnsiTheme="minorHAnsi"/>
          <w:sz w:val="22"/>
          <w:szCs w:val="22"/>
        </w:rPr>
        <w:tab/>
      </w:r>
      <w:r>
        <w:rPr>
          <w:rFonts w:asciiTheme="minorHAnsi" w:hAnsiTheme="minorHAnsi"/>
          <w:sz w:val="22"/>
          <w:szCs w:val="22"/>
        </w:rPr>
        <w:tab/>
        <w:t>212-854-3476 (office)</w:t>
      </w:r>
    </w:p>
    <w:p w:rsidR="00F6530A" w:rsidRDefault="00F6530A">
      <w:pPr>
        <w:rPr>
          <w:rFonts w:asciiTheme="minorHAnsi" w:hAnsiTheme="minorHAnsi"/>
          <w:color w:val="000000"/>
          <w:sz w:val="22"/>
          <w:szCs w:val="22"/>
        </w:rPr>
      </w:pPr>
    </w:p>
    <w:p w:rsidR="00F6530A" w:rsidRDefault="001C1731">
      <w:pPr>
        <w:pStyle w:val="Heading3"/>
        <w:rPr>
          <w:rFonts w:asciiTheme="minorHAnsi" w:hAnsiTheme="minorHAnsi"/>
          <w:sz w:val="24"/>
          <w:szCs w:val="24"/>
        </w:rPr>
      </w:pPr>
      <w:r>
        <w:rPr>
          <w:rFonts w:asciiTheme="minorHAnsi" w:hAnsiTheme="minorHAnsi"/>
          <w:sz w:val="24"/>
          <w:szCs w:val="24"/>
        </w:rPr>
        <w:t>Introduction</w:t>
      </w:r>
    </w:p>
    <w:p w:rsidR="00F6530A" w:rsidRDefault="00F6530A">
      <w:pPr>
        <w:rPr>
          <w:rFonts w:asciiTheme="minorHAnsi" w:hAnsiTheme="minorHAnsi"/>
          <w:color w:val="000000"/>
          <w:sz w:val="22"/>
          <w:szCs w:val="22"/>
        </w:rPr>
      </w:pPr>
    </w:p>
    <w:p w:rsidR="00F6530A" w:rsidRDefault="001C1731">
      <w:pPr>
        <w:pStyle w:val="BodyText1"/>
        <w:rPr>
          <w:rFonts w:asciiTheme="minorHAnsi" w:hAnsiTheme="minorHAnsi"/>
          <w:b w:val="0"/>
          <w:sz w:val="22"/>
          <w:szCs w:val="22"/>
        </w:rPr>
      </w:pPr>
      <w:r>
        <w:rPr>
          <w:rFonts w:asciiTheme="minorHAnsi" w:hAnsiTheme="minorHAnsi"/>
          <w:b w:val="0"/>
          <w:sz w:val="22"/>
          <w:szCs w:val="22"/>
        </w:rPr>
        <w:t xml:space="preserve">Pricing is one of the most powerful levers that a firm can use to maximize profits. However, this opportunity to impact profits often remains untapped as many managers do not know how to improve upon historical pricing practices within their companies and industries. This course prepares students to address both strategic and tactical pricing issues and to identify profit-boosting changes in pricing practices across a range of professional contexts – as management consultants, product managers, entrepreneurs, and business-unit managers. </w:t>
      </w:r>
    </w:p>
    <w:p w:rsidR="00F6530A" w:rsidRDefault="001C1731">
      <w:pPr>
        <w:spacing w:line="288" w:lineRule="auto"/>
        <w:rPr>
          <w:rFonts w:asciiTheme="minorHAnsi" w:hAnsiTheme="minorHAnsi"/>
          <w:sz w:val="22"/>
          <w:szCs w:val="22"/>
        </w:rPr>
      </w:pPr>
      <w:r>
        <w:rPr>
          <w:rFonts w:asciiTheme="minorHAnsi" w:hAnsiTheme="minorHAnsi"/>
          <w:sz w:val="22"/>
          <w:szCs w:val="22"/>
        </w:rPr>
        <w:t>The course covers the following three components:</w:t>
      </w:r>
    </w:p>
    <w:p w:rsidR="00F6530A" w:rsidRDefault="00F6530A">
      <w:pPr>
        <w:spacing w:line="288" w:lineRule="auto"/>
        <w:rPr>
          <w:rFonts w:asciiTheme="minorHAnsi" w:hAnsiTheme="minorHAnsi"/>
        </w:rPr>
      </w:pPr>
    </w:p>
    <w:p w:rsidR="00F6530A" w:rsidRDefault="001C1731">
      <w:pPr>
        <w:numPr>
          <w:ilvl w:val="0"/>
          <w:numId w:val="6"/>
        </w:numPr>
        <w:spacing w:line="288" w:lineRule="auto"/>
        <w:rPr>
          <w:rFonts w:asciiTheme="minorHAnsi" w:hAnsiTheme="minorHAnsi"/>
          <w:sz w:val="22"/>
          <w:szCs w:val="22"/>
        </w:rPr>
      </w:pPr>
      <w:r>
        <w:rPr>
          <w:rFonts w:asciiTheme="minorHAnsi" w:hAnsiTheme="minorHAnsi"/>
          <w:b/>
          <w:sz w:val="22"/>
          <w:szCs w:val="22"/>
        </w:rPr>
        <w:t>Pricing Analysis</w:t>
      </w:r>
      <w:r>
        <w:rPr>
          <w:rFonts w:asciiTheme="minorHAnsi" w:hAnsiTheme="minorHAnsi"/>
          <w:sz w:val="22"/>
          <w:szCs w:val="22"/>
        </w:rPr>
        <w:t xml:space="preserve">:  You will learn how to assess customer willingness to pay and to analyze demand for a new product or service. You will also learn how to measure price sensitivity and compute own and cross price elasticities for existing products. </w:t>
      </w:r>
    </w:p>
    <w:p w:rsidR="00F6530A" w:rsidRDefault="00F6530A">
      <w:pPr>
        <w:spacing w:line="288" w:lineRule="auto"/>
        <w:rPr>
          <w:rFonts w:asciiTheme="minorHAnsi" w:hAnsiTheme="minorHAnsi"/>
        </w:rPr>
      </w:pPr>
    </w:p>
    <w:p w:rsidR="00F6530A" w:rsidRDefault="001C1731">
      <w:pPr>
        <w:numPr>
          <w:ilvl w:val="0"/>
          <w:numId w:val="6"/>
        </w:numPr>
        <w:spacing w:line="288" w:lineRule="auto"/>
        <w:rPr>
          <w:rFonts w:asciiTheme="minorHAnsi" w:hAnsiTheme="minorHAnsi"/>
          <w:sz w:val="22"/>
          <w:szCs w:val="22"/>
        </w:rPr>
      </w:pPr>
      <w:r>
        <w:rPr>
          <w:rFonts w:asciiTheme="minorHAnsi" w:hAnsiTheme="minorHAnsi"/>
          <w:b/>
          <w:sz w:val="22"/>
          <w:szCs w:val="22"/>
        </w:rPr>
        <w:t>Price Structures and Metrics</w:t>
      </w:r>
      <w:r>
        <w:rPr>
          <w:rFonts w:asciiTheme="minorHAnsi" w:hAnsiTheme="minorHAnsi"/>
          <w:sz w:val="22"/>
          <w:szCs w:val="22"/>
        </w:rPr>
        <w:t xml:space="preserve">: In this component, which forms the heart of the course, you will learn when to use different price structures and how to design them optimally. These price structures take the form of product-line pricing, revenue management, segmented pricing, price bundling, non-linear price schedules, subscription pricing and other forms of targeting. You will also learn how to use appropriate pricing metrics to monetize value. </w:t>
      </w:r>
    </w:p>
    <w:p w:rsidR="00F6530A" w:rsidRDefault="00F6530A">
      <w:pPr>
        <w:spacing w:line="288" w:lineRule="auto"/>
        <w:rPr>
          <w:rFonts w:asciiTheme="minorHAnsi" w:hAnsiTheme="minorHAnsi"/>
        </w:rPr>
      </w:pPr>
    </w:p>
    <w:p w:rsidR="00F6530A" w:rsidRDefault="001C1731">
      <w:pPr>
        <w:numPr>
          <w:ilvl w:val="0"/>
          <w:numId w:val="6"/>
        </w:numPr>
        <w:spacing w:line="288" w:lineRule="auto"/>
        <w:rPr>
          <w:rFonts w:asciiTheme="minorHAnsi" w:hAnsiTheme="minorHAnsi"/>
          <w:sz w:val="22"/>
          <w:szCs w:val="22"/>
        </w:rPr>
      </w:pPr>
      <w:r>
        <w:rPr>
          <w:rFonts w:asciiTheme="minorHAnsi" w:hAnsiTheme="minorHAnsi"/>
          <w:b/>
          <w:sz w:val="22"/>
          <w:szCs w:val="22"/>
        </w:rPr>
        <w:t>Price Management:</w:t>
      </w:r>
      <w:r>
        <w:rPr>
          <w:rFonts w:asciiTheme="minorHAnsi" w:hAnsiTheme="minorHAnsi"/>
          <w:sz w:val="22"/>
          <w:szCs w:val="22"/>
        </w:rPr>
        <w:t xml:space="preserve"> We will conclude by studying how to manage prices via pricing policies and price delegation.</w:t>
      </w:r>
    </w:p>
    <w:p w:rsidR="00F6530A" w:rsidRDefault="00F6530A">
      <w:pPr>
        <w:pStyle w:val="BodyText1"/>
        <w:rPr>
          <w:rFonts w:asciiTheme="minorHAnsi" w:hAnsiTheme="minorHAnsi"/>
        </w:rPr>
      </w:pPr>
    </w:p>
    <w:p w:rsidR="00F6530A" w:rsidRDefault="001C1731">
      <w:pPr>
        <w:pStyle w:val="BodyText1"/>
        <w:rPr>
          <w:rFonts w:asciiTheme="minorHAnsi" w:hAnsiTheme="minorHAnsi"/>
          <w:b w:val="0"/>
          <w:sz w:val="22"/>
          <w:szCs w:val="22"/>
        </w:rPr>
      </w:pPr>
      <w:r>
        <w:rPr>
          <w:rFonts w:asciiTheme="minorHAnsi" w:hAnsiTheme="minorHAnsi"/>
          <w:b w:val="0"/>
          <w:sz w:val="22"/>
          <w:szCs w:val="22"/>
        </w:rPr>
        <w:t>The course uses a mix of lectures, case discussions, mini-cases, analytical exercises, and covers pricing across a broad spectrum of industries involving both B2C and B2B and from both economic and psychological perspectives.</w:t>
      </w:r>
    </w:p>
    <w:p w:rsidR="00F6530A" w:rsidRDefault="00F6530A">
      <w:pPr>
        <w:pStyle w:val="BodyText1"/>
        <w:rPr>
          <w:rFonts w:asciiTheme="minorHAnsi" w:hAnsiTheme="minorHAnsi"/>
        </w:rPr>
      </w:pPr>
    </w:p>
    <w:p w:rsidR="00F6530A" w:rsidRDefault="00F6530A">
      <w:pPr>
        <w:pStyle w:val="BodyText1"/>
        <w:rPr>
          <w:rFonts w:asciiTheme="minorHAnsi" w:hAnsiTheme="minorHAnsi"/>
        </w:rPr>
      </w:pPr>
    </w:p>
    <w:p w:rsidR="00F6530A" w:rsidRDefault="00F6530A">
      <w:pPr>
        <w:spacing w:line="288" w:lineRule="auto"/>
        <w:rPr>
          <w:rFonts w:asciiTheme="minorHAnsi" w:hAnsiTheme="minorHAnsi"/>
        </w:rPr>
      </w:pPr>
    </w:p>
    <w:p w:rsidR="00F6530A" w:rsidRDefault="00F6530A">
      <w:pPr>
        <w:rPr>
          <w:rFonts w:asciiTheme="minorHAnsi" w:hAnsiTheme="minorHAnsi"/>
          <w:b/>
          <w:sz w:val="22"/>
          <w:szCs w:val="22"/>
        </w:rPr>
      </w:pPr>
    </w:p>
    <w:p w:rsidR="00F6530A" w:rsidRDefault="001C1731">
      <w:pPr>
        <w:rPr>
          <w:rFonts w:asciiTheme="minorHAnsi" w:hAnsiTheme="minorHAnsi"/>
          <w:b/>
          <w:szCs w:val="24"/>
        </w:rPr>
      </w:pPr>
      <w:r>
        <w:rPr>
          <w:rFonts w:asciiTheme="minorHAnsi" w:hAnsiTheme="minorHAnsi"/>
          <w:b/>
          <w:szCs w:val="24"/>
        </w:rPr>
        <w:t>Reading Materials</w:t>
      </w:r>
    </w:p>
    <w:p w:rsidR="00F6530A" w:rsidRDefault="00F6530A">
      <w:pPr>
        <w:rPr>
          <w:rFonts w:asciiTheme="minorHAnsi" w:hAnsiTheme="minorHAnsi"/>
          <w:color w:val="000000"/>
          <w:sz w:val="22"/>
          <w:szCs w:val="22"/>
        </w:rPr>
      </w:pPr>
    </w:p>
    <w:p w:rsidR="00F6530A" w:rsidRDefault="001C1731">
      <w:pPr>
        <w:rPr>
          <w:rFonts w:asciiTheme="minorHAnsi" w:hAnsiTheme="minorHAnsi"/>
          <w:sz w:val="22"/>
          <w:szCs w:val="22"/>
        </w:rPr>
      </w:pPr>
      <w:r>
        <w:rPr>
          <w:rFonts w:asciiTheme="minorHAnsi" w:hAnsiTheme="minorHAnsi"/>
          <w:sz w:val="22"/>
          <w:szCs w:val="22"/>
        </w:rPr>
        <w:t xml:space="preserve">The course uses both </w:t>
      </w:r>
      <w:r>
        <w:rPr>
          <w:rFonts w:asciiTheme="minorHAnsi" w:hAnsiTheme="minorHAnsi"/>
          <w:i/>
          <w:sz w:val="22"/>
          <w:szCs w:val="22"/>
        </w:rPr>
        <w:t>required</w:t>
      </w:r>
      <w:r>
        <w:rPr>
          <w:rFonts w:asciiTheme="minorHAnsi" w:hAnsiTheme="minorHAnsi"/>
          <w:sz w:val="22"/>
          <w:szCs w:val="22"/>
        </w:rPr>
        <w:t xml:space="preserve"> and </w:t>
      </w:r>
      <w:r>
        <w:rPr>
          <w:rFonts w:asciiTheme="minorHAnsi" w:hAnsiTheme="minorHAnsi"/>
          <w:i/>
          <w:sz w:val="22"/>
          <w:szCs w:val="22"/>
        </w:rPr>
        <w:t>optional</w:t>
      </w:r>
      <w:r>
        <w:rPr>
          <w:rFonts w:asciiTheme="minorHAnsi" w:hAnsiTheme="minorHAnsi"/>
          <w:sz w:val="22"/>
          <w:szCs w:val="22"/>
        </w:rPr>
        <w:t xml:space="preserve"> reading assignments in the form of articles and cases. I will assume that you have done the required reading for each class, have analyzed assigned case materials, and are prepared to discuss them. The optional readings in the class-by-class plan aim to give you additional depth on topics of interest – I might present key points from these in the class, but you are not required to have reviewed the optional reading.</w:t>
      </w:r>
    </w:p>
    <w:p w:rsidR="00F6530A" w:rsidRDefault="00F6530A">
      <w:pPr>
        <w:rPr>
          <w:rFonts w:asciiTheme="minorHAnsi" w:hAnsiTheme="minorHAnsi"/>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The cases and articles listed in the Class Schedule are included in the course reading packet.  A few additional materials will be distributed in class or placed on Canvas in advance of class.  </w:t>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The textbook for the course is:</w:t>
      </w:r>
      <w:r>
        <w:rPr>
          <w:rFonts w:asciiTheme="minorHAnsi" w:hAnsiTheme="minorHAnsi"/>
          <w:color w:val="000000"/>
          <w:sz w:val="22"/>
          <w:szCs w:val="22"/>
        </w:rPr>
        <w:br/>
      </w:r>
    </w:p>
    <w:p w:rsidR="00F6530A" w:rsidRDefault="001C1731">
      <w:pPr>
        <w:pStyle w:val="ListParagraph"/>
        <w:numPr>
          <w:ilvl w:val="0"/>
          <w:numId w:val="3"/>
        </w:numPr>
        <w:rPr>
          <w:rFonts w:asciiTheme="minorHAnsi" w:hAnsiTheme="minorHAnsi"/>
          <w:color w:val="000000"/>
          <w:sz w:val="22"/>
          <w:szCs w:val="22"/>
        </w:rPr>
      </w:pPr>
      <w:r>
        <w:rPr>
          <w:rFonts w:asciiTheme="minorHAnsi" w:hAnsiTheme="minorHAnsi"/>
          <w:i/>
          <w:color w:val="000000"/>
          <w:sz w:val="22"/>
          <w:szCs w:val="22"/>
        </w:rPr>
        <w:t>The Strategy and Tactics of Pricing</w:t>
      </w:r>
      <w:r>
        <w:rPr>
          <w:rFonts w:asciiTheme="minorHAnsi" w:hAnsiTheme="minorHAnsi"/>
          <w:color w:val="000000"/>
          <w:sz w:val="22"/>
          <w:szCs w:val="22"/>
        </w:rPr>
        <w:t>, by T. Nagle, J. Hogan, and J. Zale, 5</w:t>
      </w:r>
      <w:r>
        <w:rPr>
          <w:rFonts w:asciiTheme="minorHAnsi" w:hAnsiTheme="minorHAnsi"/>
          <w:color w:val="000000"/>
          <w:sz w:val="22"/>
          <w:szCs w:val="22"/>
          <w:vertAlign w:val="superscript"/>
        </w:rPr>
        <w:t>th</w:t>
      </w:r>
      <w:r>
        <w:rPr>
          <w:rFonts w:asciiTheme="minorHAnsi" w:hAnsiTheme="minorHAnsi"/>
          <w:color w:val="000000"/>
          <w:sz w:val="22"/>
          <w:szCs w:val="22"/>
        </w:rPr>
        <w:t xml:space="preserve"> Edition, Prentice Hall, 2010. (NHZ)</w:t>
      </w:r>
    </w:p>
    <w:p w:rsidR="00F6530A" w:rsidRDefault="00F6530A">
      <w:pPr>
        <w:pStyle w:val="ListParagraph"/>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The following books are mentioned solely as supplemental reading:</w:t>
      </w:r>
      <w:r>
        <w:rPr>
          <w:rFonts w:asciiTheme="minorHAnsi" w:hAnsiTheme="minorHAnsi"/>
          <w:color w:val="000000"/>
          <w:sz w:val="22"/>
          <w:szCs w:val="22"/>
        </w:rPr>
        <w:br/>
      </w:r>
      <w:bookmarkStart w:id="0" w:name="_GoBack"/>
      <w:bookmarkEnd w:id="0"/>
    </w:p>
    <w:p w:rsidR="00F6530A" w:rsidRDefault="001C1731">
      <w:pPr>
        <w:numPr>
          <w:ilvl w:val="0"/>
          <w:numId w:val="1"/>
        </w:numPr>
        <w:rPr>
          <w:rFonts w:asciiTheme="minorHAnsi" w:hAnsiTheme="minorHAnsi"/>
          <w:color w:val="000000"/>
          <w:sz w:val="22"/>
          <w:szCs w:val="22"/>
        </w:rPr>
      </w:pPr>
      <w:r>
        <w:rPr>
          <w:rFonts w:asciiTheme="minorHAnsi" w:hAnsiTheme="minorHAnsi"/>
          <w:i/>
          <w:color w:val="000000"/>
          <w:sz w:val="22"/>
          <w:szCs w:val="22"/>
        </w:rPr>
        <w:t>Nonlinear Pricing</w:t>
      </w:r>
      <w:r>
        <w:rPr>
          <w:rFonts w:asciiTheme="minorHAnsi" w:hAnsiTheme="minorHAnsi"/>
          <w:color w:val="000000"/>
          <w:sz w:val="22"/>
          <w:szCs w:val="22"/>
        </w:rPr>
        <w:t>, Robert B. Wilson, Oxford University Press, 1993.</w:t>
      </w:r>
    </w:p>
    <w:p w:rsidR="00F6530A" w:rsidRDefault="001C1731">
      <w:pPr>
        <w:numPr>
          <w:ilvl w:val="0"/>
          <w:numId w:val="1"/>
        </w:numPr>
        <w:rPr>
          <w:rFonts w:asciiTheme="minorHAnsi" w:hAnsiTheme="minorHAnsi"/>
          <w:color w:val="000000"/>
          <w:sz w:val="22"/>
          <w:szCs w:val="22"/>
        </w:rPr>
      </w:pPr>
      <w:r>
        <w:rPr>
          <w:rFonts w:asciiTheme="minorHAnsi" w:hAnsiTheme="minorHAnsi"/>
          <w:i/>
          <w:color w:val="000000"/>
          <w:sz w:val="22"/>
          <w:szCs w:val="22"/>
        </w:rPr>
        <w:t>Pricing and Revenue Optimization</w:t>
      </w:r>
      <w:r>
        <w:rPr>
          <w:rFonts w:asciiTheme="minorHAnsi" w:hAnsiTheme="minorHAnsi"/>
          <w:color w:val="000000"/>
          <w:sz w:val="22"/>
          <w:szCs w:val="22"/>
        </w:rPr>
        <w:t>, Robert Phillips, Stanford Business Books, 2005.</w:t>
      </w:r>
    </w:p>
    <w:p w:rsidR="00F6530A" w:rsidRDefault="001C1731">
      <w:pPr>
        <w:numPr>
          <w:ilvl w:val="0"/>
          <w:numId w:val="1"/>
        </w:numPr>
        <w:rPr>
          <w:rFonts w:asciiTheme="minorHAnsi" w:hAnsiTheme="minorHAnsi"/>
          <w:color w:val="000000"/>
          <w:sz w:val="22"/>
          <w:szCs w:val="22"/>
        </w:rPr>
      </w:pPr>
      <w:r>
        <w:rPr>
          <w:rFonts w:asciiTheme="minorHAnsi" w:hAnsiTheme="minorHAnsi"/>
          <w:i/>
          <w:color w:val="000000"/>
          <w:sz w:val="22"/>
          <w:szCs w:val="22"/>
        </w:rPr>
        <w:t>Pricing: Making Profitable Decisions</w:t>
      </w:r>
      <w:r>
        <w:rPr>
          <w:rFonts w:asciiTheme="minorHAnsi" w:hAnsiTheme="minorHAnsi"/>
          <w:color w:val="000000"/>
          <w:sz w:val="22"/>
          <w:szCs w:val="22"/>
        </w:rPr>
        <w:t>, Kent B. Monroe, 2</w:t>
      </w:r>
      <w:r>
        <w:rPr>
          <w:rFonts w:asciiTheme="minorHAnsi" w:hAnsiTheme="minorHAnsi"/>
          <w:color w:val="000000"/>
          <w:sz w:val="22"/>
          <w:szCs w:val="22"/>
          <w:vertAlign w:val="superscript"/>
        </w:rPr>
        <w:t>nd</w:t>
      </w:r>
      <w:r>
        <w:rPr>
          <w:rFonts w:asciiTheme="minorHAnsi" w:hAnsiTheme="minorHAnsi"/>
          <w:color w:val="000000"/>
          <w:sz w:val="22"/>
          <w:szCs w:val="22"/>
        </w:rPr>
        <w:t xml:space="preserve"> Edition, Amazon, N.Y. 1990.</w:t>
      </w:r>
    </w:p>
    <w:p w:rsidR="00F6530A" w:rsidRDefault="00F6530A">
      <w:pPr>
        <w:rPr>
          <w:rFonts w:asciiTheme="minorHAnsi" w:hAnsiTheme="minorHAnsi"/>
        </w:rPr>
      </w:pPr>
    </w:p>
    <w:p w:rsidR="00F6530A" w:rsidRDefault="00F6530A">
      <w:pPr>
        <w:rPr>
          <w:rFonts w:asciiTheme="minorHAnsi" w:hAnsiTheme="minorHAnsi"/>
          <w:b/>
          <w:sz w:val="22"/>
          <w:szCs w:val="22"/>
        </w:rPr>
      </w:pPr>
    </w:p>
    <w:p w:rsidR="00F6530A" w:rsidRDefault="001C1731">
      <w:pPr>
        <w:rPr>
          <w:rFonts w:asciiTheme="minorHAnsi" w:hAnsiTheme="minorHAnsi"/>
          <w:b/>
          <w:szCs w:val="24"/>
        </w:rPr>
      </w:pPr>
      <w:r>
        <w:rPr>
          <w:rFonts w:asciiTheme="minorHAnsi" w:hAnsiTheme="minorHAnsi"/>
          <w:b/>
          <w:szCs w:val="24"/>
        </w:rPr>
        <w:t>Student Teams</w:t>
      </w:r>
    </w:p>
    <w:p w:rsidR="00F6530A" w:rsidRDefault="00F6530A">
      <w:pPr>
        <w:rPr>
          <w:rFonts w:asciiTheme="minorHAnsi" w:hAnsiTheme="minorHAnsi"/>
          <w:b/>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You will work in </w:t>
      </w:r>
      <w:r>
        <w:rPr>
          <w:rFonts w:asciiTheme="minorHAnsi" w:hAnsiTheme="minorHAnsi"/>
          <w:b/>
          <w:color w:val="000000"/>
          <w:sz w:val="22"/>
          <w:szCs w:val="22"/>
        </w:rPr>
        <w:t>teams of 5</w:t>
      </w:r>
      <w:r>
        <w:rPr>
          <w:rFonts w:asciiTheme="minorHAnsi" w:hAnsiTheme="minorHAnsi"/>
          <w:color w:val="000000"/>
          <w:sz w:val="22"/>
          <w:szCs w:val="22"/>
        </w:rPr>
        <w:t xml:space="preserve"> on the group case analysis.  Please form your groups as quickly as possible.  If you need help in forming a team, let me know in a timely manner so I can facilitate communication with others.  </w:t>
      </w:r>
    </w:p>
    <w:p w:rsidR="00F6530A" w:rsidRDefault="00F6530A">
      <w:pPr>
        <w:rPr>
          <w:rFonts w:asciiTheme="minorHAnsi" w:hAnsiTheme="minorHAnsi"/>
          <w:color w:val="000000"/>
          <w:sz w:val="22"/>
          <w:szCs w:val="22"/>
        </w:rPr>
      </w:pPr>
    </w:p>
    <w:p w:rsidR="00F6530A" w:rsidRDefault="001C1731">
      <w:pPr>
        <w:pStyle w:val="Heading1"/>
        <w:rPr>
          <w:rFonts w:asciiTheme="minorHAnsi" w:hAnsiTheme="minorHAnsi"/>
          <w:color w:val="000000"/>
          <w:szCs w:val="24"/>
        </w:rPr>
      </w:pPr>
      <w:r>
        <w:rPr>
          <w:rFonts w:asciiTheme="minorHAnsi" w:hAnsiTheme="minorHAnsi"/>
          <w:color w:val="000000"/>
          <w:szCs w:val="24"/>
        </w:rPr>
        <w:t>Grading</w:t>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1.  Class participation:</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30%</w:t>
      </w:r>
    </w:p>
    <w:p w:rsidR="00F6530A" w:rsidRDefault="001C1731">
      <w:pPr>
        <w:rPr>
          <w:rFonts w:asciiTheme="minorHAnsi" w:hAnsiTheme="minorHAnsi"/>
          <w:color w:val="000000"/>
          <w:sz w:val="22"/>
          <w:szCs w:val="22"/>
        </w:rPr>
      </w:pPr>
      <w:r>
        <w:rPr>
          <w:rFonts w:asciiTheme="minorHAnsi" w:hAnsiTheme="minorHAnsi"/>
          <w:color w:val="000000"/>
          <w:sz w:val="22"/>
          <w:szCs w:val="22"/>
        </w:rPr>
        <w:t>2.  Two individual short assignments (SA):</w:t>
      </w:r>
      <w:r w:rsidR="0075544A">
        <w:rPr>
          <w:rFonts w:asciiTheme="minorHAnsi" w:hAnsiTheme="minorHAnsi"/>
          <w:color w:val="000000"/>
          <w:sz w:val="22"/>
          <w:szCs w:val="22"/>
        </w:rPr>
        <w:tab/>
        <w:t xml:space="preserve">  </w:t>
      </w:r>
      <w:r w:rsidR="0075544A">
        <w:rPr>
          <w:rFonts w:asciiTheme="minorHAnsi" w:hAnsiTheme="minorHAnsi"/>
          <w:color w:val="000000"/>
          <w:sz w:val="22"/>
          <w:szCs w:val="22"/>
        </w:rPr>
        <w:tab/>
      </w:r>
      <w:r w:rsidR="0075544A">
        <w:rPr>
          <w:rFonts w:asciiTheme="minorHAnsi" w:hAnsiTheme="minorHAnsi"/>
          <w:color w:val="000000"/>
          <w:sz w:val="22"/>
          <w:szCs w:val="22"/>
        </w:rPr>
        <w:tab/>
      </w:r>
      <w:r w:rsidR="0075544A">
        <w:rPr>
          <w:rFonts w:asciiTheme="minorHAnsi" w:hAnsiTheme="minorHAnsi"/>
          <w:color w:val="000000"/>
          <w:sz w:val="22"/>
          <w:szCs w:val="22"/>
        </w:rPr>
        <w:tab/>
        <w:t xml:space="preserve">  </w:t>
      </w:r>
      <w:r w:rsidR="0075544A">
        <w:rPr>
          <w:rFonts w:asciiTheme="minorHAnsi" w:hAnsiTheme="minorHAnsi"/>
          <w:color w:val="000000"/>
          <w:sz w:val="22"/>
          <w:szCs w:val="22"/>
        </w:rPr>
        <w:tab/>
      </w:r>
      <w:r w:rsidR="0075544A">
        <w:rPr>
          <w:rFonts w:asciiTheme="minorHAnsi" w:hAnsiTheme="minorHAnsi"/>
          <w:color w:val="000000"/>
          <w:sz w:val="22"/>
          <w:szCs w:val="22"/>
        </w:rPr>
        <w:tab/>
        <w:t xml:space="preserve">    </w:t>
      </w:r>
      <w:r w:rsidR="009F54C6">
        <w:rPr>
          <w:rFonts w:asciiTheme="minorHAnsi" w:hAnsiTheme="minorHAnsi"/>
          <w:color w:val="000000"/>
          <w:sz w:val="22"/>
          <w:szCs w:val="22"/>
        </w:rPr>
        <w:tab/>
        <w:t>25</w:t>
      </w:r>
      <w:r>
        <w:rPr>
          <w:rFonts w:asciiTheme="minorHAnsi" w:hAnsiTheme="minorHAnsi"/>
          <w:color w:val="000000"/>
          <w:sz w:val="22"/>
          <w:szCs w:val="22"/>
        </w:rPr>
        <w:t>%</w:t>
      </w:r>
    </w:p>
    <w:p w:rsidR="00F6530A" w:rsidRDefault="001C1731">
      <w:pPr>
        <w:rPr>
          <w:rFonts w:asciiTheme="minorHAnsi" w:hAnsiTheme="minorHAnsi"/>
          <w:color w:val="000000"/>
          <w:sz w:val="22"/>
          <w:szCs w:val="22"/>
        </w:rPr>
      </w:pPr>
      <w:r>
        <w:rPr>
          <w:rFonts w:asciiTheme="minorHAnsi" w:hAnsiTheme="minorHAnsi"/>
          <w:color w:val="000000"/>
          <w:sz w:val="22"/>
          <w:szCs w:val="22"/>
        </w:rPr>
        <w:t>3.  One individu</w:t>
      </w:r>
      <w:r w:rsidR="009F54C6">
        <w:rPr>
          <w:rFonts w:asciiTheme="minorHAnsi" w:hAnsiTheme="minorHAnsi"/>
          <w:color w:val="000000"/>
          <w:sz w:val="22"/>
          <w:szCs w:val="22"/>
        </w:rPr>
        <w:t>al case write-up (IW):</w:t>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t>2</w:t>
      </w:r>
      <w:r>
        <w:rPr>
          <w:rFonts w:asciiTheme="minorHAnsi" w:hAnsiTheme="minorHAnsi"/>
          <w:color w:val="000000"/>
          <w:sz w:val="22"/>
          <w:szCs w:val="22"/>
        </w:rPr>
        <w:t>0%</w:t>
      </w: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4.  One group </w:t>
      </w:r>
      <w:r w:rsidR="009F54C6">
        <w:rPr>
          <w:rFonts w:asciiTheme="minorHAnsi" w:hAnsiTheme="minorHAnsi"/>
          <w:color w:val="000000"/>
          <w:sz w:val="22"/>
          <w:szCs w:val="22"/>
        </w:rPr>
        <w:t>case write-ups (GW):</w:t>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r>
      <w:r w:rsidR="009F54C6">
        <w:rPr>
          <w:rFonts w:asciiTheme="minorHAnsi" w:hAnsiTheme="minorHAnsi"/>
          <w:color w:val="000000"/>
          <w:sz w:val="22"/>
          <w:szCs w:val="22"/>
        </w:rPr>
        <w:tab/>
        <w:t xml:space="preserve"> </w:t>
      </w:r>
      <w:r w:rsidR="009F54C6">
        <w:rPr>
          <w:rFonts w:asciiTheme="minorHAnsi" w:hAnsiTheme="minorHAnsi"/>
          <w:color w:val="000000"/>
          <w:sz w:val="22"/>
          <w:szCs w:val="22"/>
        </w:rPr>
        <w:tab/>
      </w:r>
      <w:r w:rsidR="009F54C6">
        <w:rPr>
          <w:rFonts w:asciiTheme="minorHAnsi" w:hAnsiTheme="minorHAnsi"/>
          <w:color w:val="000000"/>
          <w:sz w:val="22"/>
          <w:szCs w:val="22"/>
        </w:rPr>
        <w:tab/>
        <w:t xml:space="preserve"> </w:t>
      </w:r>
      <w:r w:rsidR="009F54C6">
        <w:rPr>
          <w:rFonts w:asciiTheme="minorHAnsi" w:hAnsiTheme="minorHAnsi"/>
          <w:color w:val="000000"/>
          <w:sz w:val="22"/>
          <w:szCs w:val="22"/>
        </w:rPr>
        <w:tab/>
        <w:t>25</w:t>
      </w:r>
      <w:r>
        <w:rPr>
          <w:rFonts w:asciiTheme="minorHAnsi" w:hAnsiTheme="minorHAnsi"/>
          <w:color w:val="000000"/>
          <w:sz w:val="22"/>
          <w:szCs w:val="22"/>
        </w:rPr>
        <w:t>%</w:t>
      </w:r>
    </w:p>
    <w:p w:rsidR="00F6530A" w:rsidRDefault="00F6530A">
      <w:pPr>
        <w:pBdr>
          <w:bottom w:val="single" w:sz="4" w:space="1" w:color="00000A"/>
        </w:pBdr>
        <w:rPr>
          <w:rFonts w:asciiTheme="minorHAnsi" w:hAnsiTheme="minorHAnsi"/>
          <w:color w:val="000000"/>
          <w:sz w:val="22"/>
          <w:szCs w:val="22"/>
        </w:rPr>
      </w:pPr>
    </w:p>
    <w:p w:rsidR="00F6530A" w:rsidRDefault="001C1731">
      <w:pPr>
        <w:pStyle w:val="Heading4"/>
        <w:rPr>
          <w:rFonts w:asciiTheme="minorHAnsi" w:hAnsiTheme="minorHAnsi"/>
          <w:sz w:val="22"/>
          <w:szCs w:val="22"/>
        </w:rPr>
      </w:pPr>
      <w:r>
        <w:rPr>
          <w:rFonts w:asciiTheme="minorHAnsi" w:hAnsiTheme="minorHAnsi"/>
          <w:sz w:val="22"/>
          <w:szCs w:val="22"/>
        </w:rPr>
        <w:t xml:space="preserve">     Total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100%</w:t>
      </w:r>
    </w:p>
    <w:p w:rsidR="00F6530A" w:rsidRDefault="00F6530A">
      <w:pP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Each of these components is described in detail below.</w:t>
      </w:r>
    </w:p>
    <w:p w:rsidR="00F6530A" w:rsidRDefault="00F6530A">
      <w:pPr>
        <w:pStyle w:val="Header"/>
        <w:rPr>
          <w:rFonts w:asciiTheme="minorHAnsi" w:hAnsiTheme="minorHAnsi"/>
          <w:sz w:val="22"/>
          <w:szCs w:val="22"/>
        </w:rPr>
      </w:pPr>
    </w:p>
    <w:p w:rsidR="00F6530A" w:rsidRDefault="00F6530A">
      <w:pPr>
        <w:rPr>
          <w:rFonts w:asciiTheme="minorHAnsi" w:hAnsiTheme="minorHAnsi"/>
          <w:b/>
          <w:szCs w:val="24"/>
        </w:rPr>
      </w:pPr>
    </w:p>
    <w:p w:rsidR="00F6530A" w:rsidRDefault="001C1731">
      <w:pPr>
        <w:rPr>
          <w:rFonts w:asciiTheme="minorHAnsi" w:hAnsiTheme="minorHAnsi"/>
          <w:b/>
          <w:szCs w:val="24"/>
        </w:rPr>
      </w:pPr>
      <w:r>
        <w:rPr>
          <w:rFonts w:asciiTheme="minorHAnsi" w:hAnsiTheme="minorHAnsi"/>
          <w:b/>
          <w:szCs w:val="24"/>
        </w:rPr>
        <w:t xml:space="preserve">Class Participation </w:t>
      </w:r>
    </w:p>
    <w:p w:rsidR="00F6530A" w:rsidRDefault="00F6530A">
      <w:pPr>
        <w:pStyle w:val="Heade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 xml:space="preserve">You are invited to highlight insightful linkages between class material and your past experience as a professional and as a consumer, and to participate actively in class discussions. Class attendance will be required and will be monitored. </w:t>
      </w:r>
    </w:p>
    <w:p w:rsidR="00F6530A" w:rsidRDefault="00F6530A">
      <w:pPr>
        <w:rPr>
          <w:rFonts w:asciiTheme="minorHAnsi" w:hAnsiTheme="minorHAnsi"/>
          <w:sz w:val="22"/>
          <w:szCs w:val="22"/>
        </w:rPr>
      </w:pPr>
    </w:p>
    <w:p w:rsidR="00F6530A" w:rsidRDefault="001C1731">
      <w:pPr>
        <w:rPr>
          <w:rFonts w:asciiTheme="minorHAnsi" w:hAnsiTheme="minorHAnsi"/>
          <w:b/>
          <w:color w:val="000000"/>
          <w:szCs w:val="24"/>
        </w:rPr>
      </w:pPr>
      <w:r>
        <w:rPr>
          <w:rFonts w:asciiTheme="minorHAnsi" w:hAnsiTheme="minorHAnsi"/>
          <w:b/>
          <w:color w:val="000000"/>
          <w:szCs w:val="24"/>
        </w:rPr>
        <w:lastRenderedPageBreak/>
        <w:t xml:space="preserve">Short Assignments </w:t>
      </w:r>
    </w:p>
    <w:p w:rsidR="00F6530A" w:rsidRDefault="00F6530A">
      <w:pPr>
        <w:rPr>
          <w:rFonts w:asciiTheme="minorHAnsi" w:hAnsiTheme="minorHAnsi"/>
          <w:b/>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There are </w:t>
      </w:r>
      <w:r>
        <w:rPr>
          <w:rFonts w:asciiTheme="minorHAnsi" w:hAnsiTheme="minorHAnsi"/>
          <w:b/>
          <w:color w:val="000000"/>
          <w:sz w:val="22"/>
          <w:szCs w:val="22"/>
        </w:rPr>
        <w:t>two</w:t>
      </w:r>
      <w:r>
        <w:rPr>
          <w:rFonts w:asciiTheme="minorHAnsi" w:hAnsiTheme="minorHAnsi"/>
          <w:color w:val="000000"/>
          <w:sz w:val="22"/>
          <w:szCs w:val="22"/>
        </w:rPr>
        <w:t xml:space="preserve"> short assignments. You need to do them individually. They may involve questions relating to a case or other readings. These assignments will be made available later on Canvas.</w:t>
      </w:r>
    </w:p>
    <w:p w:rsidR="00F6530A" w:rsidRDefault="00F6530A">
      <w:pPr>
        <w:rPr>
          <w:rFonts w:asciiTheme="minorHAnsi" w:hAnsiTheme="minorHAnsi"/>
          <w:b/>
          <w:szCs w:val="24"/>
        </w:rPr>
      </w:pPr>
    </w:p>
    <w:p w:rsidR="00F6530A" w:rsidRDefault="001C1731">
      <w:pPr>
        <w:rPr>
          <w:rFonts w:asciiTheme="minorHAnsi" w:hAnsiTheme="minorHAnsi"/>
          <w:b/>
          <w:szCs w:val="24"/>
        </w:rPr>
      </w:pPr>
      <w:r>
        <w:rPr>
          <w:rFonts w:asciiTheme="minorHAnsi" w:hAnsiTheme="minorHAnsi"/>
          <w:b/>
          <w:szCs w:val="24"/>
        </w:rPr>
        <w:t>Case Write-Ups</w:t>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The due dates for the cases and assignments are given in the Class Schedule section of this document. You will complete one case as part of your group (GW) and the other individually (IW). Both cases are due at the beginning of the class where that case will be discussed. The following cases will be due:</w:t>
      </w:r>
    </w:p>
    <w:p w:rsidR="00F6530A" w:rsidRDefault="00F6530A">
      <w:pPr>
        <w:rPr>
          <w:rFonts w:asciiTheme="minorHAnsi" w:hAnsiTheme="minorHAnsi"/>
          <w:color w:val="000000"/>
          <w:sz w:val="22"/>
          <w:szCs w:val="22"/>
        </w:rPr>
      </w:pPr>
    </w:p>
    <w:p w:rsidR="00F6530A" w:rsidRDefault="001C1731">
      <w:pPr>
        <w:numPr>
          <w:ilvl w:val="0"/>
          <w:numId w:val="2"/>
        </w:numPr>
        <w:rPr>
          <w:rFonts w:asciiTheme="minorHAnsi" w:hAnsiTheme="minorHAnsi"/>
          <w:color w:val="000000"/>
          <w:sz w:val="22"/>
          <w:szCs w:val="22"/>
        </w:rPr>
      </w:pPr>
      <w:r>
        <w:rPr>
          <w:rFonts w:asciiTheme="minorHAnsi" w:hAnsiTheme="minorHAnsi"/>
          <w:i/>
          <w:color w:val="000000"/>
          <w:sz w:val="22"/>
          <w:szCs w:val="22"/>
        </w:rPr>
        <w:t xml:space="preserve">Springfield Nor’easters </w:t>
      </w:r>
      <w:r>
        <w:rPr>
          <w:rFonts w:asciiTheme="minorHAnsi" w:hAnsiTheme="minorHAnsi"/>
          <w:color w:val="000000"/>
          <w:sz w:val="22"/>
          <w:szCs w:val="22"/>
        </w:rPr>
        <w:t>(IW)</w:t>
      </w:r>
    </w:p>
    <w:p w:rsidR="00F6530A" w:rsidRDefault="001C1731">
      <w:pPr>
        <w:numPr>
          <w:ilvl w:val="0"/>
          <w:numId w:val="2"/>
        </w:numPr>
        <w:rPr>
          <w:rFonts w:asciiTheme="minorHAnsi" w:hAnsiTheme="minorHAnsi"/>
          <w:color w:val="000000"/>
          <w:sz w:val="22"/>
          <w:szCs w:val="22"/>
        </w:rPr>
      </w:pPr>
      <w:r>
        <w:rPr>
          <w:rFonts w:asciiTheme="minorHAnsi" w:hAnsiTheme="minorHAnsi"/>
          <w:i/>
          <w:color w:val="000000"/>
          <w:sz w:val="22"/>
          <w:szCs w:val="22"/>
        </w:rPr>
        <w:t>Fortis Industries</w:t>
      </w:r>
      <w:r>
        <w:rPr>
          <w:rFonts w:asciiTheme="minorHAnsi" w:hAnsiTheme="minorHAnsi"/>
          <w:color w:val="000000"/>
          <w:sz w:val="22"/>
          <w:szCs w:val="22"/>
        </w:rPr>
        <w:t xml:space="preserve"> (GW)</w:t>
      </w:r>
    </w:p>
    <w:p w:rsidR="00F6530A" w:rsidRDefault="00F6530A">
      <w:pPr>
        <w:pStyle w:val="ListParagraph"/>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Each full case write-up must not exceed </w:t>
      </w:r>
      <w:r>
        <w:rPr>
          <w:rFonts w:asciiTheme="minorHAnsi" w:hAnsiTheme="minorHAnsi"/>
          <w:b/>
          <w:color w:val="000000"/>
          <w:sz w:val="22"/>
          <w:szCs w:val="22"/>
        </w:rPr>
        <w:t>four</w:t>
      </w:r>
      <w:r>
        <w:rPr>
          <w:rFonts w:asciiTheme="minorHAnsi" w:hAnsiTheme="minorHAnsi"/>
          <w:color w:val="000000"/>
          <w:sz w:val="22"/>
          <w:szCs w:val="22"/>
        </w:rPr>
        <w:t xml:space="preserve"> pages (12-point Times New Roman, single-spaced, one-inch margins). This limit does not include exhibits such as tables or graphs. </w:t>
      </w:r>
      <w:bookmarkStart w:id="1" w:name="OLE_LINK1"/>
      <w:bookmarkStart w:id="2" w:name="OLE_LINK2"/>
      <w:bookmarkEnd w:id="1"/>
      <w:bookmarkEnd w:id="2"/>
      <w:r>
        <w:rPr>
          <w:rFonts w:asciiTheme="minorHAnsi" w:hAnsiTheme="minorHAnsi"/>
          <w:color w:val="000000"/>
          <w:sz w:val="22"/>
          <w:szCs w:val="22"/>
        </w:rPr>
        <w:t xml:space="preserve">Assume the reader is familiar with the case; do not summarize or restate more of the case than necessary.  </w:t>
      </w:r>
    </w:p>
    <w:p w:rsidR="00F6530A" w:rsidRDefault="00F6530A">
      <w:pPr>
        <w:rPr>
          <w:rFonts w:asciiTheme="minorHAnsi" w:hAnsiTheme="minorHAnsi"/>
          <w:color w:val="000000"/>
          <w:sz w:val="22"/>
          <w:szCs w:val="22"/>
        </w:rPr>
      </w:pPr>
    </w:p>
    <w:p w:rsidR="00F6530A" w:rsidRDefault="001C1731">
      <w:pPr>
        <w:pStyle w:val="BodyText3"/>
        <w:rPr>
          <w:rFonts w:asciiTheme="minorHAnsi" w:hAnsiTheme="minorHAnsi"/>
          <w:szCs w:val="24"/>
        </w:rPr>
      </w:pPr>
      <w:r>
        <w:rPr>
          <w:rFonts w:asciiTheme="minorHAnsi" w:hAnsiTheme="minorHAnsi"/>
          <w:szCs w:val="24"/>
        </w:rPr>
        <w:t>Connections with the Core</w:t>
      </w:r>
    </w:p>
    <w:p w:rsidR="00F6530A" w:rsidRDefault="00F6530A">
      <w:pPr>
        <w:pStyle w:val="BodyText3"/>
        <w:rPr>
          <w:rFonts w:asciiTheme="minorHAnsi" w:hAnsiTheme="minorHAnsi"/>
          <w:sz w:val="22"/>
          <w:szCs w:val="22"/>
        </w:rPr>
      </w:pPr>
    </w:p>
    <w:p w:rsidR="00F6530A" w:rsidRDefault="001C1731">
      <w:pPr>
        <w:pStyle w:val="BodyText3"/>
        <w:rPr>
          <w:rFonts w:asciiTheme="minorHAnsi" w:hAnsiTheme="minorHAnsi"/>
          <w:b w:val="0"/>
          <w:sz w:val="22"/>
          <w:szCs w:val="22"/>
        </w:rPr>
      </w:pPr>
      <w:r>
        <w:rPr>
          <w:rFonts w:asciiTheme="minorHAnsi" w:hAnsiTheme="minorHAnsi"/>
          <w:b w:val="0"/>
          <w:sz w:val="22"/>
          <w:szCs w:val="22"/>
        </w:rPr>
        <w:t xml:space="preserve">This course builds upon the marketing and economics core and relies on your knowledge of statistics and business analytics. In particular, your knowledge of regression and optimization, and the skills that you acquired in using Excel will be useful in dealing with data, and for deriving optimal price structures. </w:t>
      </w:r>
    </w:p>
    <w:p w:rsidR="00F6530A" w:rsidRDefault="00F6530A">
      <w:pPr>
        <w:pStyle w:val="BodyText3"/>
        <w:rPr>
          <w:rFonts w:asciiTheme="minorHAnsi" w:hAnsiTheme="minorHAnsi"/>
          <w:b w:val="0"/>
          <w:sz w:val="22"/>
          <w:szCs w:val="22"/>
        </w:rPr>
      </w:pPr>
    </w:p>
    <w:p w:rsidR="00F6530A" w:rsidRDefault="001C1731">
      <w:pPr>
        <w:widowControl w:val="0"/>
        <w:suppressAutoHyphens w:val="0"/>
        <w:rPr>
          <w:rFonts w:asciiTheme="minorHAnsi" w:hAnsiTheme="minorHAnsi"/>
          <w:b/>
          <w:szCs w:val="24"/>
        </w:rPr>
      </w:pPr>
      <w:r>
        <w:rPr>
          <w:rFonts w:asciiTheme="minorHAnsi" w:hAnsiTheme="minorHAnsi"/>
          <w:b/>
          <w:szCs w:val="24"/>
        </w:rPr>
        <w:t>Conduct (Core Culture)</w:t>
      </w:r>
    </w:p>
    <w:p w:rsidR="00F6530A" w:rsidRDefault="00F6530A">
      <w:pPr>
        <w:widowControl w:val="0"/>
        <w:suppressAutoHyphens w:val="0"/>
        <w:rPr>
          <w:rFonts w:asciiTheme="minorHAnsi" w:hAnsiTheme="minorHAnsi"/>
          <w:sz w:val="22"/>
          <w:szCs w:val="22"/>
        </w:rPr>
      </w:pPr>
    </w:p>
    <w:p w:rsidR="00F6530A" w:rsidRDefault="001C1731">
      <w:pPr>
        <w:widowControl w:val="0"/>
        <w:suppressAutoHyphens w:val="0"/>
        <w:rPr>
          <w:rFonts w:asciiTheme="minorHAnsi" w:hAnsiTheme="minorHAnsi"/>
          <w:sz w:val="22"/>
          <w:szCs w:val="22"/>
        </w:rPr>
      </w:pPr>
      <w:r>
        <w:rPr>
          <w:rFonts w:asciiTheme="minorHAnsi" w:hAnsiTheme="minorHAnsi"/>
          <w:sz w:val="22"/>
          <w:szCs w:val="22"/>
        </w:rPr>
        <w:t>It is important for you to focus your full attention on the class for the entire class period. Most students observe proper decorum, but it takes only one person’s behavior to distract the entire class. Class will be conducted using the following rules of decorum:</w:t>
      </w:r>
    </w:p>
    <w:p w:rsidR="00F6530A" w:rsidRDefault="001C1731">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Arrive to class on time and attend every class</w:t>
      </w:r>
    </w:p>
    <w:p w:rsidR="00F6530A" w:rsidRDefault="001C1731">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Complete pre-work and bring nameplates and clickers</w:t>
      </w:r>
    </w:p>
    <w:p w:rsidR="00F6530A" w:rsidRDefault="001C1731">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Expect cold-calling</w:t>
      </w:r>
    </w:p>
    <w:p w:rsidR="00F6530A" w:rsidRDefault="001C1731">
      <w:pPr>
        <w:pStyle w:val="ListParagraph"/>
        <w:widowControl w:val="0"/>
        <w:numPr>
          <w:ilvl w:val="0"/>
          <w:numId w:val="7"/>
        </w:numPr>
        <w:suppressAutoHyphens w:val="0"/>
        <w:rPr>
          <w:rFonts w:asciiTheme="minorHAnsi" w:hAnsiTheme="minorHAnsi"/>
          <w:sz w:val="22"/>
          <w:szCs w:val="22"/>
        </w:rPr>
      </w:pPr>
      <w:r>
        <w:rPr>
          <w:rFonts w:asciiTheme="minorHAnsi" w:hAnsiTheme="minorHAnsi"/>
          <w:sz w:val="22"/>
          <w:szCs w:val="22"/>
        </w:rPr>
        <w:t>Electronics: Unless otherwise directed, use of laptops, cell phones, PDAs, or any other wireless devices is prohibited.</w:t>
      </w:r>
    </w:p>
    <w:p w:rsidR="00F6530A" w:rsidRDefault="00F6530A">
      <w:pPr>
        <w:widowControl w:val="0"/>
        <w:suppressAutoHyphens w:val="0"/>
        <w:rPr>
          <w:rFonts w:asciiTheme="minorHAnsi" w:hAnsiTheme="minorHAnsi"/>
          <w:sz w:val="22"/>
          <w:szCs w:val="22"/>
        </w:rPr>
      </w:pPr>
    </w:p>
    <w:p w:rsidR="00F6530A" w:rsidRDefault="001C1731">
      <w:pPr>
        <w:widowControl w:val="0"/>
        <w:suppressAutoHyphens w:val="0"/>
        <w:rPr>
          <w:rFonts w:asciiTheme="minorHAnsi" w:hAnsiTheme="minorHAnsi"/>
          <w:b/>
          <w:szCs w:val="24"/>
        </w:rPr>
      </w:pPr>
      <w:r>
        <w:rPr>
          <w:rFonts w:asciiTheme="minorHAnsi" w:hAnsiTheme="minorHAnsi"/>
          <w:b/>
          <w:szCs w:val="24"/>
        </w:rPr>
        <w:t>Honor Code</w:t>
      </w:r>
    </w:p>
    <w:p w:rsidR="00F6530A" w:rsidRDefault="00F6530A">
      <w:pPr>
        <w:widowControl w:val="0"/>
        <w:suppressAutoHyphens w:val="0"/>
        <w:rPr>
          <w:rFonts w:asciiTheme="minorHAnsi" w:hAnsiTheme="minorHAnsi"/>
          <w:b/>
          <w:szCs w:val="24"/>
        </w:rPr>
      </w:pPr>
    </w:p>
    <w:p w:rsidR="00F6530A" w:rsidRDefault="001C1731">
      <w:pPr>
        <w:suppressAutoHyphens w:val="0"/>
        <w:rPr>
          <w:rFonts w:asciiTheme="minorHAnsi" w:hAnsiTheme="minorHAnsi"/>
          <w:b/>
          <w:color w:val="000000"/>
          <w:szCs w:val="24"/>
        </w:rPr>
      </w:pPr>
      <w:r>
        <w:rPr>
          <w:rFonts w:asciiTheme="minorHAnsi" w:hAnsiTheme="minorHAnsi"/>
          <w:sz w:val="22"/>
          <w:szCs w:val="22"/>
        </w:rPr>
        <w:t xml:space="preserve">You are expected to conform to the norms of behavior outlined in the Columbia Business School Integrity Code (printed at the beginning of the reading packet). Use of case or lecture notes from previous sections of the course is not allowed. Any allegation of academic dishonesty will be forwarded to the Dean’s office for investigation. Any case of proven academic dishonesty will result in failure in the course. </w:t>
      </w:r>
      <w:r>
        <w:br w:type="page"/>
      </w:r>
    </w:p>
    <w:p w:rsidR="00F6530A" w:rsidRDefault="001C1731">
      <w:pPr>
        <w:jc w:val="center"/>
        <w:rPr>
          <w:rFonts w:asciiTheme="minorHAnsi" w:hAnsiTheme="minorHAnsi"/>
          <w:b/>
          <w:sz w:val="22"/>
          <w:szCs w:val="22"/>
        </w:rPr>
      </w:pPr>
      <w:r>
        <w:rPr>
          <w:rFonts w:ascii="Calibri" w:hAnsi="Calibri"/>
          <w:b/>
          <w:sz w:val="22"/>
          <w:szCs w:val="22"/>
        </w:rPr>
        <w:lastRenderedPageBreak/>
        <w:t>CLASS</w:t>
      </w:r>
      <w:r>
        <w:rPr>
          <w:rFonts w:ascii="Calibri" w:hAnsi="Calibri"/>
        </w:rPr>
        <w:t xml:space="preserve"> </w:t>
      </w:r>
      <w:r>
        <w:rPr>
          <w:rFonts w:asciiTheme="minorHAnsi" w:hAnsiTheme="minorHAnsi"/>
          <w:b/>
          <w:sz w:val="22"/>
          <w:szCs w:val="22"/>
        </w:rPr>
        <w:t>SCHEDULE</w:t>
      </w:r>
    </w:p>
    <w:p w:rsidR="00F6530A" w:rsidRDefault="00F6530A">
      <w:pPr>
        <w:jc w:val="center"/>
        <w:rPr>
          <w:rFonts w:asciiTheme="minorHAnsi" w:hAnsiTheme="minorHAnsi"/>
          <w:b/>
          <w:sz w:val="22"/>
          <w:szCs w:val="22"/>
        </w:rPr>
      </w:pPr>
    </w:p>
    <w:tbl>
      <w:tblPr>
        <w:tblW w:w="10503" w:type="dxa"/>
        <w:tblInd w:w="-6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42" w:type="dxa"/>
          <w:bottom w:w="72" w:type="dxa"/>
          <w:right w:w="72" w:type="dxa"/>
        </w:tblCellMar>
        <w:tblLook w:val="04A0" w:firstRow="1" w:lastRow="0" w:firstColumn="1" w:lastColumn="0" w:noHBand="0" w:noVBand="1"/>
      </w:tblPr>
      <w:tblGrid>
        <w:gridCol w:w="1384"/>
        <w:gridCol w:w="3873"/>
        <w:gridCol w:w="2582"/>
        <w:gridCol w:w="2664"/>
      </w:tblGrid>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E5E5E5"/>
            <w:tcMar>
              <w:left w:w="42" w:type="dxa"/>
            </w:tcMar>
            <w:vAlign w:val="center"/>
          </w:tcPr>
          <w:p w:rsidR="00F6530A" w:rsidRDefault="001C1731">
            <w:pPr>
              <w:rPr>
                <w:rFonts w:asciiTheme="minorHAnsi" w:hAnsiTheme="minorHAnsi"/>
                <w:b/>
                <w:sz w:val="22"/>
                <w:szCs w:val="22"/>
              </w:rPr>
            </w:pPr>
            <w:r>
              <w:rPr>
                <w:rFonts w:asciiTheme="minorHAnsi" w:hAnsiTheme="minorHAnsi"/>
                <w:b/>
                <w:sz w:val="22"/>
                <w:szCs w:val="22"/>
              </w:rPr>
              <w:t>Sessions</w:t>
            </w:r>
          </w:p>
        </w:tc>
        <w:tc>
          <w:tcPr>
            <w:tcW w:w="3873" w:type="dxa"/>
            <w:tcBorders>
              <w:top w:val="single" w:sz="4" w:space="0" w:color="000001"/>
              <w:left w:val="single" w:sz="4" w:space="0" w:color="000001"/>
              <w:bottom w:val="single" w:sz="4" w:space="0" w:color="000001"/>
              <w:right w:val="single" w:sz="4" w:space="0" w:color="000001"/>
            </w:tcBorders>
            <w:shd w:val="clear" w:color="auto" w:fill="E5E5E5"/>
            <w:tcMar>
              <w:left w:w="42" w:type="dxa"/>
            </w:tcMar>
            <w:vAlign w:val="center"/>
          </w:tcPr>
          <w:p w:rsidR="00F6530A" w:rsidRDefault="001C1731">
            <w:pPr>
              <w:rPr>
                <w:rFonts w:asciiTheme="minorHAnsi" w:hAnsiTheme="minorHAnsi"/>
                <w:b/>
                <w:sz w:val="22"/>
                <w:szCs w:val="22"/>
              </w:rPr>
            </w:pPr>
            <w:r>
              <w:rPr>
                <w:rFonts w:asciiTheme="minorHAnsi" w:hAnsiTheme="minorHAnsi"/>
                <w:b/>
                <w:sz w:val="22"/>
                <w:szCs w:val="22"/>
              </w:rPr>
              <w:t>Topic</w:t>
            </w:r>
          </w:p>
        </w:tc>
        <w:tc>
          <w:tcPr>
            <w:tcW w:w="2582" w:type="dxa"/>
            <w:tcBorders>
              <w:top w:val="single" w:sz="4" w:space="0" w:color="000001"/>
              <w:left w:val="single" w:sz="4" w:space="0" w:color="000001"/>
              <w:bottom w:val="single" w:sz="4" w:space="0" w:color="000001"/>
              <w:right w:val="single" w:sz="4" w:space="0" w:color="000001"/>
            </w:tcBorders>
            <w:shd w:val="clear" w:color="auto" w:fill="E5E5E5"/>
            <w:tcMar>
              <w:left w:w="42" w:type="dxa"/>
            </w:tcMar>
            <w:vAlign w:val="center"/>
          </w:tcPr>
          <w:p w:rsidR="00F6530A" w:rsidRDefault="001C1731">
            <w:pPr>
              <w:rPr>
                <w:rFonts w:asciiTheme="minorHAnsi" w:hAnsiTheme="minorHAnsi"/>
                <w:b/>
                <w:sz w:val="22"/>
                <w:szCs w:val="22"/>
              </w:rPr>
            </w:pPr>
            <w:r>
              <w:rPr>
                <w:rFonts w:asciiTheme="minorHAnsi" w:hAnsiTheme="minorHAnsi"/>
                <w:b/>
                <w:sz w:val="22"/>
                <w:szCs w:val="22"/>
              </w:rPr>
              <w:t>Cases Discussed</w:t>
            </w:r>
          </w:p>
        </w:tc>
        <w:tc>
          <w:tcPr>
            <w:tcW w:w="2664" w:type="dxa"/>
            <w:tcBorders>
              <w:top w:val="single" w:sz="4" w:space="0" w:color="000001"/>
              <w:left w:val="single" w:sz="4" w:space="0" w:color="000001"/>
              <w:bottom w:val="single" w:sz="4" w:space="0" w:color="000001"/>
              <w:right w:val="single" w:sz="4" w:space="0" w:color="000001"/>
            </w:tcBorders>
            <w:shd w:val="clear" w:color="auto" w:fill="E5E5E5"/>
            <w:tcMar>
              <w:left w:w="42" w:type="dxa"/>
            </w:tcMar>
            <w:vAlign w:val="center"/>
          </w:tcPr>
          <w:p w:rsidR="00F6530A" w:rsidRDefault="001C1731">
            <w:pPr>
              <w:rPr>
                <w:rFonts w:asciiTheme="minorHAnsi" w:hAnsiTheme="minorHAnsi"/>
                <w:b/>
                <w:sz w:val="22"/>
                <w:szCs w:val="22"/>
              </w:rPr>
            </w:pPr>
            <w:r>
              <w:rPr>
                <w:rFonts w:asciiTheme="minorHAnsi" w:hAnsiTheme="minorHAnsi"/>
                <w:b/>
                <w:sz w:val="22"/>
                <w:szCs w:val="22"/>
              </w:rPr>
              <w:t>Due</w:t>
            </w: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rsidP="00E221EB">
            <w:pPr>
              <w:spacing w:line="276" w:lineRule="auto"/>
            </w:pPr>
            <w:r>
              <w:rPr>
                <w:rFonts w:asciiTheme="minorHAnsi" w:hAnsiTheme="minorHAnsi"/>
                <w:sz w:val="22"/>
                <w:szCs w:val="22"/>
              </w:rPr>
              <w:t>1) Mar 2</w:t>
            </w:r>
            <w:r w:rsidR="00E221EB">
              <w:rPr>
                <w:rFonts w:asciiTheme="minorHAnsi" w:hAnsiTheme="minorHAnsi"/>
                <w:sz w:val="22"/>
                <w:szCs w:val="22"/>
              </w:rPr>
              <w:t>0</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spacing w:line="276" w:lineRule="auto"/>
              <w:rPr>
                <w:rFonts w:asciiTheme="minorHAnsi" w:hAnsiTheme="minorHAnsi"/>
                <w:color w:val="000000"/>
                <w:sz w:val="22"/>
                <w:szCs w:val="22"/>
              </w:rPr>
            </w:pPr>
            <w:r>
              <w:rPr>
                <w:rFonts w:asciiTheme="minorHAnsi" w:hAnsiTheme="minorHAnsi"/>
                <w:color w:val="000000"/>
                <w:sz w:val="22"/>
                <w:szCs w:val="22"/>
              </w:rPr>
              <w:t>Pricing Strategy Framework</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i/>
                <w:sz w:val="22"/>
                <w:szCs w:val="22"/>
              </w:rPr>
            </w:pPr>
            <w:r>
              <w:rPr>
                <w:rFonts w:asciiTheme="minorHAnsi" w:hAnsiTheme="minorHAnsi"/>
                <w:i/>
                <w:sz w:val="22"/>
                <w:szCs w:val="22"/>
              </w:rPr>
              <w:t xml:space="preserve"> Beauregard Textiles</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sz w:val="22"/>
                <w:szCs w:val="22"/>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pPr>
              <w:spacing w:line="276" w:lineRule="auto"/>
            </w:pPr>
            <w:r>
              <w:rPr>
                <w:rFonts w:asciiTheme="minorHAnsi" w:hAnsiTheme="minorHAnsi"/>
                <w:sz w:val="22"/>
                <w:szCs w:val="22"/>
              </w:rPr>
              <w:t>2) Mar 22</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spacing w:line="276" w:lineRule="auto"/>
            </w:pPr>
            <w:r>
              <w:rPr>
                <w:rFonts w:asciiTheme="minorHAnsi" w:hAnsiTheme="minorHAnsi"/>
                <w:color w:val="000000"/>
                <w:sz w:val="22"/>
                <w:szCs w:val="22"/>
              </w:rPr>
              <w:t>Value and Relevant Costs</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i/>
                <w:sz w:val="22"/>
                <w:szCs w:val="22"/>
              </w:rPr>
            </w:pPr>
            <w:proofErr w:type="spellStart"/>
            <w:r>
              <w:rPr>
                <w:rFonts w:asciiTheme="minorHAnsi" w:hAnsiTheme="minorHAnsi"/>
                <w:i/>
                <w:sz w:val="22"/>
                <w:szCs w:val="22"/>
              </w:rPr>
              <w:t>Fabtek</w:t>
            </w:r>
            <w:proofErr w:type="spellEnd"/>
            <w:r>
              <w:rPr>
                <w:rFonts w:asciiTheme="minorHAnsi" w:hAnsiTheme="minorHAnsi"/>
                <w:i/>
                <w:sz w:val="22"/>
                <w:szCs w:val="22"/>
              </w:rPr>
              <w:t xml:space="preserve"> B</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i/>
                <w:sz w:val="22"/>
                <w:szCs w:val="22"/>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r>
              <w:rPr>
                <w:rFonts w:asciiTheme="minorHAnsi" w:hAnsiTheme="minorHAnsi"/>
                <w:sz w:val="22"/>
                <w:szCs w:val="22"/>
              </w:rPr>
              <w:t>3) Mar 27</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spacing w:line="276" w:lineRule="auto"/>
            </w:pPr>
            <w:r>
              <w:rPr>
                <w:rFonts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sz w:val="22"/>
                <w:szCs w:val="22"/>
              </w:rPr>
            </w:pPr>
            <w:r>
              <w:rPr>
                <w:rFonts w:asciiTheme="minorHAnsi" w:hAnsiTheme="minorHAnsi"/>
                <w:i/>
                <w:color w:val="000000"/>
                <w:sz w:val="22"/>
                <w:szCs w:val="22"/>
              </w:rPr>
              <w:t>Curled Metals</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sz w:val="22"/>
                <w:szCs w:val="22"/>
              </w:rPr>
            </w:pPr>
            <w:r>
              <w:rPr>
                <w:rFonts w:asciiTheme="minorHAnsi" w:hAnsiTheme="minorHAnsi"/>
                <w:sz w:val="22"/>
                <w:szCs w:val="22"/>
              </w:rPr>
              <w:t xml:space="preserve">SA1: </w:t>
            </w:r>
            <w:r>
              <w:rPr>
                <w:rFonts w:asciiTheme="minorHAnsi" w:hAnsiTheme="minorHAnsi"/>
                <w:i/>
                <w:sz w:val="22"/>
                <w:szCs w:val="22"/>
              </w:rPr>
              <w:t>Curled Metals</w:t>
            </w: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pPr>
              <w:rPr>
                <w:rFonts w:asciiTheme="minorHAnsi" w:hAnsiTheme="minorHAnsi"/>
                <w:sz w:val="22"/>
                <w:szCs w:val="22"/>
              </w:rPr>
            </w:pPr>
            <w:r>
              <w:rPr>
                <w:rFonts w:asciiTheme="minorHAnsi" w:hAnsiTheme="minorHAnsi"/>
                <w:sz w:val="22"/>
                <w:szCs w:val="22"/>
              </w:rPr>
              <w:t>4) Mar 29</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sz w:val="22"/>
                <w:szCs w:val="22"/>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sz w:val="22"/>
                <w:szCs w:val="22"/>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pPr>
              <w:rPr>
                <w:rFonts w:asciiTheme="minorHAnsi" w:hAnsiTheme="minorHAnsi"/>
                <w:sz w:val="22"/>
                <w:szCs w:val="22"/>
              </w:rPr>
            </w:pPr>
            <w:r>
              <w:rPr>
                <w:rFonts w:asciiTheme="minorHAnsi" w:hAnsiTheme="minorHAnsi"/>
                <w:sz w:val="22"/>
                <w:szCs w:val="22"/>
              </w:rPr>
              <w:t>5) Apr 03</w:t>
            </w:r>
            <w:r w:rsidR="001C1731">
              <w:rPr>
                <w:rFonts w:asciiTheme="minorHAnsi" w:hAnsiTheme="minorHAnsi"/>
                <w:sz w:val="22"/>
                <w:szCs w:val="22"/>
              </w:rPr>
              <w:t xml:space="preserve"> </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color w:val="000000"/>
                <w:sz w:val="22"/>
                <w:szCs w:val="22"/>
              </w:rPr>
              <w:t>Pricing Existing Products</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sz w:val="22"/>
                <w:szCs w:val="22"/>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i/>
                <w:sz w:val="22"/>
                <w:szCs w:val="22"/>
                <w:lang w:val="fr-FR"/>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r>
              <w:rPr>
                <w:rFonts w:asciiTheme="minorHAnsi" w:hAnsiTheme="minorHAnsi"/>
                <w:sz w:val="22"/>
                <w:szCs w:val="22"/>
              </w:rPr>
              <w:t>6) Apr 05</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color w:val="000000"/>
                <w:sz w:val="22"/>
                <w:szCs w:val="22"/>
              </w:rPr>
              <w:t>Price Structures and Targeted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i/>
                <w:color w:val="000000"/>
                <w:sz w:val="22"/>
                <w:szCs w:val="22"/>
              </w:rPr>
            </w:pPr>
            <w:r>
              <w:rPr>
                <w:rFonts w:asciiTheme="minorHAnsi" w:hAnsiTheme="minorHAnsi"/>
                <w:i/>
                <w:color w:val="000000"/>
                <w:sz w:val="22"/>
                <w:szCs w:val="22"/>
              </w:rPr>
              <w:t>B2B Targeting</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color w:val="000000"/>
                <w:sz w:val="22"/>
                <w:szCs w:val="22"/>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r>
              <w:rPr>
                <w:rFonts w:asciiTheme="minorHAnsi" w:hAnsiTheme="minorHAnsi"/>
                <w:sz w:val="22"/>
                <w:szCs w:val="22"/>
              </w:rPr>
              <w:t>7) Apr 10</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color w:val="000000"/>
                <w:sz w:val="22"/>
                <w:szCs w:val="22"/>
              </w:rPr>
              <w:t>Product Line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i/>
                <w:color w:val="000000"/>
                <w:sz w:val="22"/>
                <w:szCs w:val="22"/>
              </w:rPr>
            </w:pPr>
            <w:r>
              <w:rPr>
                <w:rFonts w:asciiTheme="minorHAnsi" w:hAnsiTheme="minorHAnsi"/>
                <w:i/>
                <w:color w:val="000000"/>
                <w:sz w:val="22"/>
                <w:szCs w:val="22"/>
              </w:rPr>
              <w:t>Keurig at Home</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sz w:val="22"/>
                <w:szCs w:val="22"/>
              </w:rPr>
              <w:t>SA2: Demand Modeling</w:t>
            </w: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r>
              <w:rPr>
                <w:rFonts w:asciiTheme="minorHAnsi" w:hAnsiTheme="minorHAnsi"/>
                <w:sz w:val="22"/>
                <w:szCs w:val="22"/>
              </w:rPr>
              <w:t>8) Apr 12</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r>
              <w:rPr>
                <w:rFonts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i/>
                <w:color w:val="000000"/>
                <w:sz w:val="22"/>
                <w:szCs w:val="22"/>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sz w:val="22"/>
                <w:szCs w:val="22"/>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r>
              <w:rPr>
                <w:rFonts w:asciiTheme="minorHAnsi" w:hAnsiTheme="minorHAnsi"/>
                <w:sz w:val="22"/>
                <w:szCs w:val="22"/>
              </w:rPr>
              <w:t>9) Apr 17</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r>
              <w:rPr>
                <w:rFonts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i/>
                <w:color w:val="000000"/>
                <w:sz w:val="22"/>
                <w:szCs w:val="22"/>
              </w:rPr>
            </w:pPr>
            <w:r>
              <w:rPr>
                <w:rFonts w:asciiTheme="minorHAnsi" w:hAnsiTheme="minorHAnsi"/>
                <w:i/>
                <w:color w:val="000000"/>
                <w:sz w:val="22"/>
                <w:szCs w:val="22"/>
              </w:rPr>
              <w:t>Springfield Nor’easters</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sz w:val="22"/>
                <w:szCs w:val="22"/>
              </w:rPr>
            </w:pPr>
            <w:r>
              <w:rPr>
                <w:rFonts w:asciiTheme="minorHAnsi" w:hAnsiTheme="minorHAnsi"/>
                <w:sz w:val="22"/>
                <w:szCs w:val="22"/>
              </w:rPr>
              <w:t>IW: Springfield Nor’easters</w:t>
            </w: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E221EB">
            <w:r>
              <w:rPr>
                <w:rFonts w:asciiTheme="minorHAnsi" w:hAnsiTheme="minorHAnsi"/>
                <w:sz w:val="22"/>
                <w:szCs w:val="22"/>
              </w:rPr>
              <w:t>10) Apr 19</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color w:val="000000"/>
                <w:sz w:val="22"/>
                <w:szCs w:val="22"/>
              </w:rPr>
              <w:t>Nonlinear Pricing and Bundling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i/>
                <w:color w:val="000000"/>
                <w:sz w:val="22"/>
                <w:szCs w:val="22"/>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color w:val="000000"/>
                <w:sz w:val="22"/>
                <w:szCs w:val="22"/>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rsidP="00E221EB">
            <w:r>
              <w:rPr>
                <w:rFonts w:asciiTheme="minorHAnsi" w:hAnsiTheme="minorHAnsi"/>
                <w:sz w:val="22"/>
                <w:szCs w:val="22"/>
              </w:rPr>
              <w:t>11) Apr 2</w:t>
            </w:r>
            <w:r w:rsidR="00E221EB">
              <w:rPr>
                <w:rFonts w:asciiTheme="minorHAnsi" w:hAnsiTheme="minorHAnsi"/>
                <w:sz w:val="22"/>
                <w:szCs w:val="22"/>
              </w:rPr>
              <w:t>4</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r>
              <w:rPr>
                <w:rFonts w:asciiTheme="minorHAnsi" w:hAnsiTheme="minorHAnsi"/>
                <w:color w:val="000000"/>
                <w:sz w:val="22"/>
                <w:szCs w:val="22"/>
              </w:rPr>
              <w:t xml:space="preserve">Subscriptions Pricing </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color w:val="000000"/>
                <w:sz w:val="22"/>
                <w:szCs w:val="22"/>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F6530A">
            <w:pPr>
              <w:rPr>
                <w:rFonts w:asciiTheme="minorHAnsi" w:hAnsiTheme="minorHAnsi"/>
                <w:i/>
                <w:color w:val="000000"/>
                <w:sz w:val="22"/>
                <w:szCs w:val="22"/>
              </w:rPr>
            </w:pPr>
          </w:p>
        </w:tc>
      </w:tr>
      <w:tr w:rsidR="00F6530A">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rsidP="00E221EB">
            <w:r>
              <w:rPr>
                <w:rFonts w:asciiTheme="minorHAnsi" w:hAnsiTheme="minorHAnsi"/>
                <w:sz w:val="22"/>
                <w:szCs w:val="22"/>
              </w:rPr>
              <w:t>12) Apr 2</w:t>
            </w:r>
            <w:r w:rsidR="00E221EB">
              <w:rPr>
                <w:rFonts w:asciiTheme="minorHAnsi" w:hAnsiTheme="minorHAnsi"/>
                <w:sz w:val="22"/>
                <w:szCs w:val="22"/>
              </w:rPr>
              <w:t>6</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color w:val="000000"/>
                <w:sz w:val="22"/>
                <w:szCs w:val="22"/>
              </w:rPr>
              <w:t>Pricing Management and Policy</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color w:val="000000"/>
                <w:sz w:val="22"/>
                <w:szCs w:val="22"/>
              </w:rPr>
            </w:pPr>
            <w:r>
              <w:rPr>
                <w:rFonts w:asciiTheme="minorHAnsi" w:hAnsiTheme="minorHAnsi"/>
                <w:i/>
                <w:color w:val="000000"/>
                <w:sz w:val="22"/>
                <w:szCs w:val="22"/>
              </w:rPr>
              <w:t>Fortis Industries</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Mar>
              <w:left w:w="42" w:type="dxa"/>
            </w:tcMar>
            <w:vAlign w:val="center"/>
          </w:tcPr>
          <w:p w:rsidR="00F6530A" w:rsidRDefault="001C1731">
            <w:pPr>
              <w:rPr>
                <w:rFonts w:asciiTheme="minorHAnsi" w:hAnsiTheme="minorHAnsi"/>
                <w:sz w:val="22"/>
                <w:szCs w:val="22"/>
              </w:rPr>
            </w:pPr>
            <w:r>
              <w:rPr>
                <w:rFonts w:asciiTheme="minorHAnsi" w:hAnsiTheme="minorHAnsi"/>
                <w:sz w:val="22"/>
                <w:szCs w:val="22"/>
              </w:rPr>
              <w:t>GW: Fortis Industries</w:t>
            </w:r>
          </w:p>
        </w:tc>
      </w:tr>
    </w:tbl>
    <w:p w:rsidR="00F6530A" w:rsidRDefault="00F6530A">
      <w:pPr>
        <w:ind w:left="990" w:hanging="990"/>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SA: Short Individual Assignment, IW: Individual Level Case Writeup, GW: Group Case Writeup</w:t>
      </w:r>
    </w:p>
    <w:p w:rsidR="00F6530A" w:rsidRDefault="001C1731">
      <w:pPr>
        <w:suppressAutoHyphens w:val="0"/>
        <w:rPr>
          <w:rFonts w:asciiTheme="minorHAnsi" w:hAnsiTheme="minorHAnsi"/>
          <w:b/>
          <w:sz w:val="22"/>
          <w:szCs w:val="22"/>
        </w:rPr>
      </w:pPr>
      <w:r>
        <w:br w:type="page"/>
      </w:r>
    </w:p>
    <w:p w:rsidR="00F6530A" w:rsidRDefault="001F4F81">
      <w:pPr>
        <w:rPr>
          <w:rFonts w:asciiTheme="minorHAnsi" w:hAnsiTheme="minorHAnsi"/>
          <w:b/>
          <w:sz w:val="22"/>
          <w:szCs w:val="22"/>
        </w:rPr>
      </w:pPr>
      <w:r>
        <w:rPr>
          <w:rFonts w:asciiTheme="minorHAnsi" w:hAnsiTheme="minorHAnsi"/>
          <w:b/>
          <w:sz w:val="22"/>
          <w:szCs w:val="22"/>
        </w:rPr>
        <w:lastRenderedPageBreak/>
        <w:t>Session 1</w:t>
      </w:r>
      <w:r>
        <w:rPr>
          <w:rFonts w:asciiTheme="minorHAnsi" w:hAnsiTheme="minorHAnsi"/>
          <w:b/>
          <w:sz w:val="22"/>
          <w:szCs w:val="22"/>
        </w:rPr>
        <w:tab/>
        <w:t>Framework for Pricing Strategy</w:t>
      </w:r>
      <w:r w:rsidR="001C1731">
        <w:rPr>
          <w:rFonts w:asciiTheme="minorHAnsi" w:hAnsiTheme="minorHAnsi"/>
          <w:b/>
          <w:sz w:val="22"/>
          <w:szCs w:val="22"/>
        </w:rPr>
        <w:tab/>
      </w:r>
    </w:p>
    <w:p w:rsidR="00F6530A" w:rsidRDefault="00F6530A">
      <w:pP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We will begin with a discussion of Beauregard Textiles, which is a simple case that highlights factors critical for pricing decisions. We will then focus on the role of pricing in value creation and discuss the increasing importance of pricing in today’s markets. We will conclude with a framework for pricing decisions</w:t>
      </w:r>
    </w:p>
    <w:p w:rsidR="00F6530A" w:rsidRDefault="00F6530A">
      <w:pPr>
        <w:rPr>
          <w:rFonts w:asciiTheme="minorHAnsi" w:hAnsiTheme="minorHAnsi"/>
          <w:sz w:val="22"/>
          <w:szCs w:val="22"/>
        </w:rPr>
      </w:pPr>
    </w:p>
    <w:p w:rsidR="00F6530A" w:rsidRDefault="001C1731">
      <w:pPr>
        <w:rPr>
          <w:rFonts w:asciiTheme="minorHAnsi" w:hAnsiTheme="minorHAnsi"/>
          <w:b/>
          <w:color w:val="000000"/>
          <w:sz w:val="22"/>
          <w:szCs w:val="22"/>
        </w:rPr>
      </w:pPr>
      <w:r>
        <w:rPr>
          <w:rFonts w:asciiTheme="minorHAnsi" w:hAnsiTheme="minorHAnsi"/>
          <w:b/>
          <w:color w:val="000000"/>
          <w:sz w:val="22"/>
          <w:szCs w:val="22"/>
        </w:rPr>
        <w:t>Case: Beauregard Textiles [HBS 9-191-058]</w:t>
      </w:r>
    </w:p>
    <w:p w:rsidR="00F6530A" w:rsidRDefault="00F6530A">
      <w:pP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Required Reading</w:t>
      </w:r>
    </w:p>
    <w:p w:rsidR="00F6530A" w:rsidRDefault="001C1731">
      <w:pPr>
        <w:numPr>
          <w:ilvl w:val="0"/>
          <w:numId w:val="4"/>
        </w:numPr>
        <w:rPr>
          <w:rFonts w:asciiTheme="minorHAnsi" w:hAnsiTheme="minorHAnsi"/>
          <w:color w:val="000000"/>
          <w:sz w:val="22"/>
          <w:szCs w:val="22"/>
        </w:rPr>
      </w:pPr>
      <w:r>
        <w:rPr>
          <w:rFonts w:asciiTheme="minorHAnsi" w:hAnsiTheme="minorHAnsi"/>
          <w:color w:val="000000"/>
          <w:sz w:val="22"/>
          <w:szCs w:val="22"/>
        </w:rPr>
        <w:t xml:space="preserve"> “Executives Zero in on Price,” WSJ, Sept. 27, 2010.</w:t>
      </w:r>
    </w:p>
    <w:p w:rsidR="00F6530A" w:rsidRDefault="00F6530A">
      <w:pPr>
        <w:ind w:left="720"/>
        <w:rPr>
          <w:rFonts w:asciiTheme="minorHAnsi" w:hAnsiTheme="minorHAnsi"/>
          <w:b/>
          <w:color w:val="000000"/>
          <w:sz w:val="22"/>
          <w:szCs w:val="22"/>
        </w:rPr>
      </w:pPr>
    </w:p>
    <w:p w:rsidR="00F6530A" w:rsidRDefault="001C1731">
      <w:pPr>
        <w:rPr>
          <w:rFonts w:asciiTheme="minorHAnsi" w:hAnsiTheme="minorHAnsi"/>
          <w:b/>
          <w:sz w:val="22"/>
          <w:szCs w:val="22"/>
        </w:rPr>
      </w:pPr>
      <w:r>
        <w:rPr>
          <w:rFonts w:asciiTheme="minorHAnsi" w:hAnsiTheme="minorHAnsi"/>
          <w:b/>
          <w:sz w:val="22"/>
          <w:szCs w:val="22"/>
        </w:rPr>
        <w:t>Session 2</w:t>
      </w:r>
      <w:r>
        <w:rPr>
          <w:rFonts w:asciiTheme="minorHAnsi" w:hAnsiTheme="minorHAnsi"/>
          <w:b/>
          <w:sz w:val="22"/>
          <w:szCs w:val="22"/>
        </w:rPr>
        <w:tab/>
        <w:t>Customer Value and Relevant Costs</w:t>
      </w:r>
    </w:p>
    <w:p w:rsidR="00F6530A" w:rsidRDefault="00F6530A">
      <w:pPr>
        <w:rPr>
          <w:rFonts w:asciiTheme="minorHAnsi" w:hAnsiTheme="minorHAnsi"/>
          <w:b/>
          <w:sz w:val="22"/>
          <w:szCs w:val="22"/>
        </w:rPr>
      </w:pPr>
    </w:p>
    <w:p w:rsidR="00F6530A" w:rsidRDefault="001C1731">
      <w:pPr>
        <w:rPr>
          <w:rFonts w:asciiTheme="minorHAnsi" w:hAnsiTheme="minorHAnsi"/>
          <w:sz w:val="22"/>
          <w:szCs w:val="22"/>
        </w:rPr>
      </w:pPr>
      <w:r>
        <w:rPr>
          <w:rFonts w:asciiTheme="minorHAnsi" w:hAnsiTheme="minorHAnsi"/>
          <w:sz w:val="22"/>
          <w:szCs w:val="22"/>
        </w:rPr>
        <w:t xml:space="preserve">We will review the concepts of Economic value to the consumer and will discuss which costs are relevant for pricing decisions. </w:t>
      </w:r>
    </w:p>
    <w:p w:rsidR="00F6530A" w:rsidRDefault="00F6530A">
      <w:pPr>
        <w:rPr>
          <w:rFonts w:asciiTheme="minorHAnsi" w:hAnsiTheme="minorHAnsi"/>
          <w:b/>
          <w:sz w:val="22"/>
          <w:szCs w:val="22"/>
        </w:rPr>
      </w:pPr>
    </w:p>
    <w:p w:rsidR="00F6530A" w:rsidRDefault="001C1731">
      <w:pPr>
        <w:rPr>
          <w:b/>
          <w:bCs/>
        </w:rPr>
      </w:pPr>
      <w:r>
        <w:rPr>
          <w:rFonts w:asciiTheme="minorHAnsi" w:hAnsiTheme="minorHAnsi"/>
          <w:b/>
          <w:bCs/>
          <w:sz w:val="22"/>
          <w:szCs w:val="22"/>
        </w:rPr>
        <w:t xml:space="preserve">Case: </w:t>
      </w:r>
      <w:proofErr w:type="spellStart"/>
      <w:r>
        <w:rPr>
          <w:rFonts w:asciiTheme="minorHAnsi" w:hAnsiTheme="minorHAnsi"/>
          <w:b/>
          <w:bCs/>
          <w:sz w:val="22"/>
          <w:szCs w:val="22"/>
        </w:rPr>
        <w:t>Fabtek</w:t>
      </w:r>
      <w:proofErr w:type="spellEnd"/>
      <w:r>
        <w:rPr>
          <w:rFonts w:asciiTheme="minorHAnsi" w:hAnsiTheme="minorHAnsi"/>
          <w:b/>
          <w:bCs/>
          <w:sz w:val="22"/>
          <w:szCs w:val="22"/>
        </w:rPr>
        <w:t xml:space="preserve"> (B)</w:t>
      </w:r>
    </w:p>
    <w:p w:rsidR="00F6530A" w:rsidRDefault="00F6530A">
      <w:pPr>
        <w:rPr>
          <w:rFonts w:asciiTheme="minorHAnsi" w:hAnsiTheme="minorHAnsi"/>
          <w:sz w:val="22"/>
          <w:szCs w:val="22"/>
        </w:rPr>
      </w:pPr>
    </w:p>
    <w:p w:rsidR="00F6530A" w:rsidRDefault="001C1731">
      <w:pPr>
        <w:rPr>
          <w:rFonts w:asciiTheme="minorHAnsi" w:hAnsiTheme="minorHAnsi"/>
          <w:color w:val="000000"/>
          <w:sz w:val="22"/>
          <w:szCs w:val="22"/>
        </w:rPr>
      </w:pPr>
      <w:r>
        <w:rPr>
          <w:rFonts w:asciiTheme="minorHAnsi" w:hAnsiTheme="minorHAnsi"/>
          <w:sz w:val="22"/>
          <w:szCs w:val="22"/>
        </w:rPr>
        <w:t xml:space="preserve">Required Reading: </w:t>
      </w:r>
      <w:r>
        <w:rPr>
          <w:rFonts w:asciiTheme="minorHAnsi" w:hAnsiTheme="minorHAnsi"/>
          <w:color w:val="000000"/>
          <w:sz w:val="22"/>
          <w:szCs w:val="22"/>
        </w:rPr>
        <w:t xml:space="preserve">“Pricing, Profits, and Customer Value,” </w:t>
      </w:r>
      <w:proofErr w:type="spellStart"/>
      <w:r>
        <w:rPr>
          <w:rFonts w:asciiTheme="minorHAnsi" w:hAnsiTheme="minorHAnsi"/>
          <w:color w:val="000000"/>
          <w:sz w:val="22"/>
          <w:szCs w:val="22"/>
        </w:rPr>
        <w:t>Cespedes</w:t>
      </w:r>
      <w:proofErr w:type="spellEnd"/>
      <w:r>
        <w:rPr>
          <w:rFonts w:asciiTheme="minorHAnsi" w:hAnsiTheme="minorHAnsi"/>
          <w:color w:val="000000"/>
          <w:sz w:val="22"/>
          <w:szCs w:val="22"/>
        </w:rPr>
        <w:t xml:space="preserve">, Shapiro, &amp; Ross, 2011 (HBS 9-811-016). </w:t>
      </w:r>
    </w:p>
    <w:p w:rsidR="00F6530A" w:rsidRDefault="00F6530A">
      <w:pP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Optional Reading</w:t>
      </w:r>
    </w:p>
    <w:p w:rsidR="00F6530A" w:rsidRDefault="001C1731">
      <w:pPr>
        <w:pStyle w:val="ListParagraph"/>
        <w:numPr>
          <w:ilvl w:val="0"/>
          <w:numId w:val="8"/>
        </w:numPr>
        <w:rPr>
          <w:rFonts w:asciiTheme="minorHAnsi" w:hAnsiTheme="minorHAnsi"/>
          <w:color w:val="000000"/>
          <w:sz w:val="22"/>
          <w:szCs w:val="22"/>
        </w:rPr>
      </w:pPr>
      <w:r>
        <w:rPr>
          <w:rFonts w:asciiTheme="minorHAnsi" w:hAnsiTheme="minorHAnsi"/>
          <w:color w:val="000000"/>
          <w:sz w:val="22"/>
          <w:szCs w:val="22"/>
        </w:rPr>
        <w:t>NHZ, Chapter 1, Chapters 2 and 9.</w:t>
      </w:r>
    </w:p>
    <w:p w:rsidR="00F6530A" w:rsidRDefault="001C1731">
      <w:pPr>
        <w:rPr>
          <w:rFonts w:asciiTheme="minorHAnsi" w:hAnsiTheme="minorHAnsi"/>
          <w:b/>
          <w:sz w:val="22"/>
          <w:szCs w:val="22"/>
        </w:rPr>
      </w:pPr>
      <w:r>
        <w:rPr>
          <w:rFonts w:asciiTheme="minorHAnsi" w:hAnsiTheme="minorHAnsi"/>
          <w:color w:val="000000"/>
          <w:sz w:val="22"/>
          <w:szCs w:val="22"/>
        </w:rPr>
        <w:t xml:space="preserve"> </w:t>
      </w:r>
    </w:p>
    <w:p w:rsidR="00F6530A" w:rsidRDefault="001C1731">
      <w:r>
        <w:rPr>
          <w:rFonts w:asciiTheme="minorHAnsi" w:hAnsiTheme="minorHAnsi"/>
          <w:b/>
          <w:sz w:val="22"/>
          <w:szCs w:val="22"/>
        </w:rPr>
        <w:t>Session 3</w:t>
      </w:r>
      <w:r>
        <w:rPr>
          <w:rFonts w:asciiTheme="minorHAnsi" w:hAnsiTheme="minorHAnsi"/>
          <w:sz w:val="22"/>
          <w:szCs w:val="22"/>
        </w:rPr>
        <w:t xml:space="preserve"> </w:t>
      </w:r>
      <w:r>
        <w:rPr>
          <w:rFonts w:asciiTheme="minorHAnsi" w:hAnsiTheme="minorHAnsi"/>
          <w:sz w:val="22"/>
          <w:szCs w:val="22"/>
        </w:rPr>
        <w:tab/>
      </w:r>
      <w:r>
        <w:rPr>
          <w:rFonts w:asciiTheme="minorHAnsi" w:hAnsiTheme="minorHAnsi"/>
          <w:b/>
          <w:sz w:val="22"/>
          <w:szCs w:val="22"/>
        </w:rPr>
        <w:t xml:space="preserve">New Product Pricing </w:t>
      </w:r>
    </w:p>
    <w:p w:rsidR="00F6530A" w:rsidRDefault="00F6530A">
      <w:pP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 xml:space="preserve">We will discuss the Curled Metals case. The case will highlight issues involved in selecting a pricing strategy for a new product. </w:t>
      </w:r>
    </w:p>
    <w:p w:rsidR="00F6530A" w:rsidRDefault="00F6530A">
      <w:pPr>
        <w:rPr>
          <w:rFonts w:asciiTheme="minorHAnsi" w:hAnsiTheme="minorHAnsi"/>
          <w:sz w:val="22"/>
          <w:szCs w:val="22"/>
        </w:rPr>
      </w:pPr>
    </w:p>
    <w:p w:rsidR="00F6530A" w:rsidRDefault="001C1731">
      <w:pPr>
        <w:rPr>
          <w:rFonts w:asciiTheme="minorHAnsi" w:hAnsiTheme="minorHAnsi"/>
          <w:b/>
          <w:sz w:val="22"/>
          <w:szCs w:val="22"/>
        </w:rPr>
      </w:pPr>
      <w:r>
        <w:rPr>
          <w:rFonts w:asciiTheme="minorHAnsi" w:hAnsiTheme="minorHAnsi"/>
          <w:b/>
          <w:color w:val="000000"/>
          <w:sz w:val="22"/>
          <w:szCs w:val="22"/>
        </w:rPr>
        <w:t xml:space="preserve">Case: </w:t>
      </w:r>
      <w:r>
        <w:rPr>
          <w:rFonts w:asciiTheme="minorHAnsi" w:hAnsiTheme="minorHAnsi"/>
          <w:b/>
          <w:sz w:val="22"/>
          <w:szCs w:val="22"/>
        </w:rPr>
        <w:t xml:space="preserve"> Curled Metal Inc. [HBS 9-709-434]</w:t>
      </w:r>
    </w:p>
    <w:p w:rsidR="00F6530A" w:rsidRDefault="00F6530A">
      <w:pPr>
        <w:rPr>
          <w:rFonts w:asciiTheme="minorHAnsi" w:hAnsiTheme="minorHAnsi"/>
          <w:sz w:val="22"/>
          <w:szCs w:val="22"/>
        </w:rPr>
      </w:pPr>
    </w:p>
    <w:p w:rsidR="00F6530A" w:rsidRDefault="001C1731">
      <w:pPr>
        <w:rPr>
          <w:rFonts w:asciiTheme="minorHAnsi" w:hAnsiTheme="minorHAnsi"/>
          <w:sz w:val="22"/>
          <w:szCs w:val="22"/>
        </w:rPr>
      </w:pPr>
      <w:r>
        <w:rPr>
          <w:rFonts w:asciiTheme="minorHAnsi" w:hAnsiTheme="minorHAnsi"/>
          <w:sz w:val="22"/>
          <w:szCs w:val="22"/>
        </w:rPr>
        <w:t>Optional Reading</w:t>
      </w:r>
    </w:p>
    <w:p w:rsidR="00F6530A" w:rsidRDefault="001C1731">
      <w:pPr>
        <w:numPr>
          <w:ilvl w:val="0"/>
          <w:numId w:val="5"/>
        </w:numPr>
        <w:rPr>
          <w:rFonts w:asciiTheme="minorHAnsi" w:hAnsiTheme="minorHAnsi"/>
          <w:color w:val="000000"/>
          <w:sz w:val="22"/>
          <w:szCs w:val="22"/>
        </w:rPr>
      </w:pPr>
      <w:r>
        <w:rPr>
          <w:rFonts w:asciiTheme="minorHAnsi" w:hAnsiTheme="minorHAnsi"/>
          <w:color w:val="000000"/>
          <w:sz w:val="22"/>
          <w:szCs w:val="22"/>
        </w:rPr>
        <w:t xml:space="preserve">NHZ, Chapters 2 and 6 </w:t>
      </w:r>
    </w:p>
    <w:p w:rsidR="00F6530A" w:rsidRDefault="00F6530A">
      <w:pPr>
        <w:rPr>
          <w:rFonts w:asciiTheme="minorHAnsi" w:hAnsiTheme="minorHAnsi"/>
          <w:b/>
          <w:sz w:val="22"/>
          <w:szCs w:val="22"/>
        </w:rPr>
      </w:pPr>
    </w:p>
    <w:p w:rsidR="00F6530A" w:rsidRDefault="00F6530A">
      <w:pPr>
        <w:ind w:left="720"/>
        <w:rPr>
          <w:rFonts w:asciiTheme="minorHAnsi" w:hAnsiTheme="minorHAnsi"/>
          <w:b/>
          <w:sz w:val="22"/>
          <w:szCs w:val="22"/>
        </w:rPr>
      </w:pPr>
    </w:p>
    <w:p w:rsidR="00F6530A" w:rsidRDefault="001C1731">
      <w:pPr>
        <w:rPr>
          <w:rFonts w:asciiTheme="minorHAnsi" w:hAnsiTheme="minorHAnsi"/>
          <w:b/>
          <w:sz w:val="22"/>
          <w:szCs w:val="22"/>
        </w:rPr>
      </w:pPr>
      <w:r>
        <w:rPr>
          <w:rFonts w:asciiTheme="minorHAnsi" w:hAnsiTheme="minorHAnsi"/>
          <w:b/>
          <w:sz w:val="22"/>
          <w:szCs w:val="22"/>
        </w:rPr>
        <w:t>Session 4</w:t>
      </w:r>
      <w:r>
        <w:rPr>
          <w:rFonts w:asciiTheme="minorHAnsi" w:hAnsiTheme="minorHAnsi"/>
          <w:b/>
          <w:sz w:val="22"/>
          <w:szCs w:val="22"/>
        </w:rPr>
        <w:tab/>
        <w:t>New Product Pricing: Assessing Demand</w:t>
      </w:r>
    </w:p>
    <w:p w:rsidR="00F6530A" w:rsidRDefault="00F6530A">
      <w:pPr>
        <w:rPr>
          <w:rFonts w:asciiTheme="minorHAnsi" w:hAnsiTheme="minorHAnsi"/>
          <w:b/>
          <w:sz w:val="22"/>
          <w:szCs w:val="22"/>
        </w:rPr>
      </w:pPr>
    </w:p>
    <w:p w:rsidR="00F6530A" w:rsidRDefault="001C1731">
      <w:pPr>
        <w:rPr>
          <w:rFonts w:asciiTheme="minorHAnsi" w:hAnsiTheme="minorHAnsi"/>
          <w:sz w:val="22"/>
          <w:szCs w:val="22"/>
        </w:rPr>
      </w:pPr>
      <w:r>
        <w:rPr>
          <w:rFonts w:asciiTheme="minorHAnsi" w:hAnsiTheme="minorHAnsi"/>
          <w:sz w:val="22"/>
          <w:szCs w:val="22"/>
        </w:rPr>
        <w:t>We will discuss ways in which willingness to pay can be assessed for new products and how pricing optimization can be based on such assessment.</w:t>
      </w:r>
    </w:p>
    <w:p w:rsidR="00F6530A" w:rsidRDefault="00F6530A">
      <w:pPr>
        <w:rPr>
          <w:rFonts w:asciiTheme="minorHAnsi" w:hAnsiTheme="minorHAnsi"/>
          <w:b/>
          <w:sz w:val="22"/>
          <w:szCs w:val="22"/>
        </w:rPr>
      </w:pPr>
    </w:p>
    <w:p w:rsidR="0075544A" w:rsidRDefault="0075544A">
      <w:pPr>
        <w:rPr>
          <w:rFonts w:asciiTheme="minorHAnsi" w:hAnsiTheme="minorHAnsi"/>
          <w:b/>
          <w:sz w:val="22"/>
          <w:szCs w:val="22"/>
        </w:rPr>
      </w:pPr>
    </w:p>
    <w:p w:rsidR="00F6530A" w:rsidRDefault="001C1731">
      <w:pPr>
        <w:rPr>
          <w:rFonts w:asciiTheme="minorHAnsi" w:hAnsiTheme="minorHAnsi"/>
          <w:b/>
          <w:sz w:val="22"/>
          <w:szCs w:val="22"/>
        </w:rPr>
      </w:pPr>
      <w:r>
        <w:rPr>
          <w:rFonts w:asciiTheme="minorHAnsi" w:hAnsiTheme="minorHAnsi"/>
          <w:b/>
          <w:sz w:val="22"/>
          <w:szCs w:val="22"/>
        </w:rPr>
        <w:t>Session 5</w:t>
      </w:r>
      <w:r>
        <w:rPr>
          <w:rFonts w:asciiTheme="minorHAnsi" w:hAnsiTheme="minorHAnsi"/>
          <w:b/>
          <w:sz w:val="22"/>
          <w:szCs w:val="22"/>
        </w:rPr>
        <w:tab/>
        <w:t>Pricing Existing Products</w:t>
      </w:r>
      <w:r>
        <w:rPr>
          <w:rFonts w:asciiTheme="minorHAnsi" w:hAnsiTheme="minorHAnsi"/>
          <w:b/>
          <w:sz w:val="22"/>
          <w:szCs w:val="22"/>
        </w:rPr>
        <w:tab/>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We will study how to compute own and cross price elasticities using historical data and linear regression and semi-log regression. We will also discuss how to use these elasticities to assess competitive market structure and the clout and vulnerability of competitors. </w:t>
      </w:r>
    </w:p>
    <w:p w:rsidR="00F6530A" w:rsidRDefault="00F6530A">
      <w:pPr>
        <w:rPr>
          <w:rFonts w:asciiTheme="minorHAnsi" w:hAnsiTheme="minorHAnsi"/>
          <w:sz w:val="22"/>
          <w:szCs w:val="22"/>
        </w:rPr>
      </w:pPr>
    </w:p>
    <w:p w:rsidR="00F6530A" w:rsidRDefault="001C1731">
      <w:pPr>
        <w:rPr>
          <w:rFonts w:asciiTheme="minorHAnsi" w:hAnsiTheme="minorHAnsi"/>
          <w:color w:val="000000"/>
          <w:sz w:val="22"/>
          <w:szCs w:val="22"/>
        </w:rPr>
      </w:pPr>
      <w:r>
        <w:rPr>
          <w:rFonts w:asciiTheme="minorHAnsi" w:hAnsiTheme="minorHAnsi"/>
          <w:sz w:val="22"/>
          <w:szCs w:val="22"/>
        </w:rPr>
        <w:t xml:space="preserve">Required Reading: </w:t>
      </w:r>
      <w:r>
        <w:rPr>
          <w:rFonts w:asciiTheme="minorHAnsi" w:hAnsiTheme="minorHAnsi"/>
          <w:bCs/>
          <w:sz w:val="22"/>
          <w:szCs w:val="22"/>
        </w:rPr>
        <w:t xml:space="preserve"> </w:t>
      </w:r>
      <w:r>
        <w:rPr>
          <w:rFonts w:asciiTheme="minorHAnsi" w:hAnsiTheme="minorHAnsi"/>
          <w:color w:val="000000"/>
          <w:sz w:val="22"/>
          <w:szCs w:val="22"/>
        </w:rPr>
        <w:t>NHZ</w:t>
      </w:r>
      <w:r>
        <w:rPr>
          <w:rFonts w:asciiTheme="minorHAnsi" w:hAnsiTheme="minorHAnsi"/>
          <w:bCs/>
          <w:sz w:val="22"/>
          <w:szCs w:val="22"/>
        </w:rPr>
        <w:t xml:space="preserve">, </w:t>
      </w:r>
      <w:r>
        <w:rPr>
          <w:rFonts w:asciiTheme="minorHAnsi" w:hAnsiTheme="minorHAnsi"/>
          <w:color w:val="000000"/>
          <w:sz w:val="22"/>
          <w:szCs w:val="22"/>
        </w:rPr>
        <w:t>Chapter 12</w:t>
      </w:r>
    </w:p>
    <w:p w:rsidR="00F6530A" w:rsidRDefault="00F6530A">
      <w:pPr>
        <w:rPr>
          <w:rFonts w:asciiTheme="minorHAnsi" w:hAnsiTheme="minorHAnsi"/>
          <w:color w:val="000000"/>
          <w:sz w:val="22"/>
          <w:szCs w:val="22"/>
        </w:rPr>
      </w:pPr>
    </w:p>
    <w:p w:rsidR="0075544A" w:rsidRDefault="0075544A">
      <w:pPr>
        <w:rPr>
          <w:rFonts w:asciiTheme="minorHAnsi" w:hAnsiTheme="minorHAnsi"/>
          <w:b/>
          <w:sz w:val="22"/>
          <w:szCs w:val="22"/>
        </w:rPr>
      </w:pPr>
    </w:p>
    <w:p w:rsidR="0075544A" w:rsidRDefault="0075544A">
      <w:pPr>
        <w:rPr>
          <w:rFonts w:asciiTheme="minorHAnsi" w:hAnsiTheme="minorHAnsi"/>
          <w:b/>
          <w:sz w:val="22"/>
          <w:szCs w:val="22"/>
        </w:rPr>
      </w:pPr>
    </w:p>
    <w:p w:rsidR="00F6530A" w:rsidRDefault="001C1731">
      <w:pPr>
        <w:rPr>
          <w:rFonts w:asciiTheme="minorHAnsi" w:hAnsiTheme="minorHAnsi"/>
          <w:b/>
          <w:sz w:val="22"/>
          <w:szCs w:val="22"/>
        </w:rPr>
      </w:pPr>
      <w:r>
        <w:rPr>
          <w:rFonts w:asciiTheme="minorHAnsi" w:hAnsiTheme="minorHAnsi"/>
          <w:b/>
          <w:sz w:val="22"/>
          <w:szCs w:val="22"/>
        </w:rPr>
        <w:lastRenderedPageBreak/>
        <w:t>Session 6</w:t>
      </w:r>
      <w:r>
        <w:rPr>
          <w:rFonts w:asciiTheme="minorHAnsi" w:hAnsiTheme="minorHAnsi"/>
          <w:b/>
          <w:sz w:val="22"/>
          <w:szCs w:val="22"/>
        </w:rPr>
        <w:tab/>
        <w:t>Pricing Structures and Targeted Pricing</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rsidR="00F6530A" w:rsidRDefault="00F6530A">
      <w:pPr>
        <w:ind w:left="360"/>
        <w:rPr>
          <w:rFonts w:asciiTheme="minorHAnsi" w:hAnsiTheme="minorHAnsi"/>
          <w:b/>
          <w:bCs/>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We will look at how price structures can be useful for improving profits. We will then use a mini-case about pricing decisions for a B2B metals retailer. We will study how transactional data from past bids and purchases can be used to device dynamic and targeted prices for each transaction.</w:t>
      </w:r>
    </w:p>
    <w:p w:rsidR="00F6530A" w:rsidRDefault="00F6530A">
      <w:pPr>
        <w:rPr>
          <w:rFonts w:asciiTheme="minorHAnsi" w:hAnsiTheme="minorHAnsi"/>
          <w:bCs/>
          <w:color w:val="000000"/>
          <w:sz w:val="22"/>
          <w:szCs w:val="22"/>
        </w:rPr>
      </w:pPr>
    </w:p>
    <w:p w:rsidR="00F6530A" w:rsidRDefault="001C1731">
      <w:pPr>
        <w:rPr>
          <w:rFonts w:asciiTheme="minorHAnsi" w:hAnsiTheme="minorHAnsi"/>
          <w:bCs/>
          <w:sz w:val="22"/>
          <w:szCs w:val="22"/>
        </w:rPr>
      </w:pPr>
      <w:r>
        <w:rPr>
          <w:rFonts w:asciiTheme="minorHAnsi" w:hAnsiTheme="minorHAnsi"/>
          <w:bCs/>
          <w:sz w:val="22"/>
          <w:szCs w:val="22"/>
        </w:rPr>
        <w:t xml:space="preserve">Required Reading: </w:t>
      </w:r>
      <w:r>
        <w:rPr>
          <w:rFonts w:asciiTheme="minorHAnsi" w:hAnsiTheme="minorHAnsi"/>
          <w:b/>
          <w:bCs/>
          <w:sz w:val="22"/>
          <w:szCs w:val="22"/>
        </w:rPr>
        <w:t>Targeted Pricing</w:t>
      </w:r>
    </w:p>
    <w:p w:rsidR="00F6530A" w:rsidRDefault="00F6530A">
      <w:pPr>
        <w:ind w:left="720"/>
        <w:rPr>
          <w:rFonts w:asciiTheme="minorHAnsi" w:hAnsiTheme="minorHAnsi"/>
          <w:bCs/>
          <w:sz w:val="22"/>
          <w:szCs w:val="22"/>
        </w:rPr>
      </w:pPr>
    </w:p>
    <w:p w:rsidR="00F6530A" w:rsidRDefault="001C1731">
      <w:pPr>
        <w:rPr>
          <w:rFonts w:asciiTheme="minorHAnsi" w:hAnsiTheme="minorHAnsi"/>
          <w:b/>
          <w:color w:val="000000"/>
          <w:sz w:val="22"/>
          <w:szCs w:val="22"/>
        </w:rPr>
      </w:pPr>
      <w:r>
        <w:rPr>
          <w:rFonts w:asciiTheme="minorHAnsi" w:hAnsiTheme="minorHAnsi"/>
          <w:b/>
          <w:color w:val="000000"/>
          <w:sz w:val="22"/>
          <w:szCs w:val="22"/>
        </w:rPr>
        <w:t>Session 7</w:t>
      </w:r>
      <w:r>
        <w:rPr>
          <w:rFonts w:asciiTheme="minorHAnsi" w:hAnsiTheme="minorHAnsi"/>
          <w:b/>
          <w:color w:val="000000"/>
          <w:sz w:val="22"/>
          <w:szCs w:val="22"/>
        </w:rPr>
        <w:tab/>
        <w:t>Product Lines and Complements</w:t>
      </w:r>
    </w:p>
    <w:p w:rsidR="00F6530A" w:rsidRDefault="00F6530A">
      <w:pPr>
        <w:rPr>
          <w:rFonts w:asciiTheme="minorHAnsi" w:hAnsiTheme="minorHAnsi"/>
          <w:b/>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We will discuss how prices can be structured using product lines involving substitute products. We will also see price structure design for complementary products sold by the same firm.</w:t>
      </w:r>
    </w:p>
    <w:p w:rsidR="00F6530A" w:rsidRDefault="00F6530A">
      <w:pPr>
        <w:rPr>
          <w:rFonts w:asciiTheme="minorHAnsi" w:hAnsiTheme="minorHAnsi"/>
          <w:color w:val="000000"/>
          <w:sz w:val="22"/>
          <w:szCs w:val="22"/>
        </w:rPr>
      </w:pPr>
    </w:p>
    <w:p w:rsidR="00F6530A" w:rsidRDefault="001C1731">
      <w:pPr>
        <w:rPr>
          <w:rFonts w:asciiTheme="minorHAnsi" w:hAnsiTheme="minorHAnsi"/>
          <w:bCs/>
          <w:sz w:val="22"/>
          <w:szCs w:val="22"/>
        </w:rPr>
      </w:pPr>
      <w:r>
        <w:rPr>
          <w:rFonts w:asciiTheme="minorHAnsi" w:hAnsiTheme="minorHAnsi"/>
          <w:bCs/>
          <w:color w:val="000000"/>
          <w:sz w:val="22"/>
          <w:szCs w:val="22"/>
        </w:rPr>
        <w:t xml:space="preserve">Required Reading: </w:t>
      </w:r>
      <w:r>
        <w:rPr>
          <w:rFonts w:asciiTheme="minorHAnsi" w:hAnsiTheme="minorHAnsi"/>
          <w:bCs/>
          <w:sz w:val="22"/>
          <w:szCs w:val="22"/>
        </w:rPr>
        <w:t>“Versioning:  The Smart Way to Sell Information,” Shapiro &amp; Varian, HBR, Nov-Dec 1998.</w:t>
      </w:r>
    </w:p>
    <w:p w:rsidR="00F6530A" w:rsidRDefault="001C1731">
      <w:r>
        <w:rPr>
          <w:rFonts w:asciiTheme="minorHAnsi" w:hAnsiTheme="minorHAnsi"/>
          <w:color w:val="000000"/>
          <w:sz w:val="22"/>
          <w:szCs w:val="22"/>
        </w:rPr>
        <w:t>Required Reading: NHZ: Chapter 3</w:t>
      </w:r>
    </w:p>
    <w:p w:rsidR="00F6530A" w:rsidRDefault="00F6530A">
      <w:pPr>
        <w:rPr>
          <w:rFonts w:asciiTheme="minorHAnsi" w:hAnsiTheme="minorHAnsi"/>
          <w:color w:val="000000"/>
          <w:sz w:val="22"/>
          <w:szCs w:val="22"/>
        </w:rPr>
      </w:pPr>
    </w:p>
    <w:p w:rsidR="00F6530A" w:rsidRDefault="001C1731">
      <w:pPr>
        <w:rPr>
          <w:b/>
          <w:bCs/>
        </w:rPr>
      </w:pPr>
      <w:r>
        <w:rPr>
          <w:rFonts w:asciiTheme="minorHAnsi" w:hAnsiTheme="minorHAnsi"/>
          <w:b/>
          <w:bCs/>
          <w:color w:val="000000"/>
          <w:sz w:val="22"/>
          <w:szCs w:val="22"/>
        </w:rPr>
        <w:t>Case: Keurig at Home</w:t>
      </w:r>
    </w:p>
    <w:p w:rsidR="00F6530A" w:rsidRDefault="00F6530A">
      <w:pPr>
        <w:rPr>
          <w:rFonts w:asciiTheme="minorHAnsi" w:hAnsiTheme="minorHAnsi"/>
          <w:b/>
          <w:bCs/>
          <w:color w:val="000000"/>
          <w:sz w:val="22"/>
          <w:szCs w:val="22"/>
        </w:rPr>
      </w:pPr>
    </w:p>
    <w:p w:rsidR="00F6530A" w:rsidRDefault="001C1731">
      <w:r>
        <w:rPr>
          <w:rFonts w:asciiTheme="minorHAnsi" w:hAnsiTheme="minorHAnsi"/>
          <w:b/>
          <w:color w:val="000000"/>
          <w:sz w:val="22"/>
          <w:szCs w:val="22"/>
        </w:rPr>
        <w:t xml:space="preserve">Session 8 </w:t>
      </w:r>
      <w:r>
        <w:rPr>
          <w:rFonts w:asciiTheme="minorHAnsi" w:hAnsiTheme="minorHAnsi"/>
          <w:b/>
          <w:color w:val="000000"/>
          <w:sz w:val="22"/>
          <w:szCs w:val="22"/>
        </w:rPr>
        <w:tab/>
        <w:t>Revenue Management</w:t>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We will discuss the rationale and meaning of revenue management and study its application in a variety of industries. We will also look at different revenue management mechanisms and how they operate. </w:t>
      </w:r>
    </w:p>
    <w:p w:rsidR="00F6530A" w:rsidRDefault="00F6530A">
      <w:pPr>
        <w:rPr>
          <w:rFonts w:asciiTheme="minorHAnsi" w:hAnsiTheme="minorHAnsi"/>
          <w:color w:val="000000"/>
          <w:sz w:val="22"/>
          <w:szCs w:val="22"/>
        </w:rPr>
      </w:pPr>
    </w:p>
    <w:p w:rsidR="00F6530A" w:rsidRDefault="001C1731">
      <w:pPr>
        <w:rPr>
          <w:rFonts w:asciiTheme="minorHAnsi" w:hAnsiTheme="minorHAnsi"/>
          <w:b/>
          <w:bCs/>
          <w:color w:val="000000"/>
          <w:sz w:val="22"/>
          <w:szCs w:val="22"/>
        </w:rPr>
      </w:pPr>
      <w:r>
        <w:rPr>
          <w:rFonts w:asciiTheme="minorHAnsi" w:hAnsiTheme="minorHAnsi"/>
          <w:b/>
          <w:bCs/>
          <w:color w:val="000000"/>
          <w:sz w:val="22"/>
          <w:szCs w:val="22"/>
        </w:rPr>
        <w:t xml:space="preserve">Session 9 </w:t>
      </w:r>
      <w:r>
        <w:rPr>
          <w:rFonts w:asciiTheme="minorHAnsi" w:hAnsiTheme="minorHAnsi"/>
          <w:b/>
          <w:bCs/>
          <w:color w:val="000000"/>
          <w:sz w:val="22"/>
          <w:szCs w:val="22"/>
        </w:rPr>
        <w:tab/>
        <w:t xml:space="preserve">Revenue Management </w:t>
      </w:r>
    </w:p>
    <w:p w:rsidR="00F6530A" w:rsidRDefault="00F6530A">
      <w:pPr>
        <w:rPr>
          <w:rFonts w:asciiTheme="minorHAnsi" w:hAnsiTheme="minorHAnsi"/>
          <w:b/>
          <w:bCs/>
          <w:color w:val="000000"/>
          <w:sz w:val="22"/>
          <w:szCs w:val="22"/>
        </w:rPr>
      </w:pPr>
    </w:p>
    <w:p w:rsidR="00F6530A" w:rsidRDefault="001C1731">
      <w:pPr>
        <w:rPr>
          <w:rFonts w:asciiTheme="minorHAnsi" w:hAnsiTheme="minorHAnsi"/>
          <w:bCs/>
          <w:color w:val="000000"/>
          <w:sz w:val="22"/>
          <w:szCs w:val="22"/>
        </w:rPr>
      </w:pPr>
      <w:r>
        <w:rPr>
          <w:rFonts w:asciiTheme="minorHAnsi" w:hAnsiTheme="minorHAnsi"/>
          <w:color w:val="000000"/>
          <w:sz w:val="22"/>
          <w:szCs w:val="22"/>
        </w:rPr>
        <w:t>We will continue our discussion of revenue management via a discussion of the</w:t>
      </w:r>
      <w:r>
        <w:rPr>
          <w:rFonts w:asciiTheme="minorHAnsi" w:hAnsiTheme="minorHAnsi"/>
          <w:bCs/>
          <w:color w:val="000000"/>
          <w:sz w:val="22"/>
          <w:szCs w:val="22"/>
        </w:rPr>
        <w:t xml:space="preserve"> Springfield Nor’easters case. We will also discuss how the use of markdowns in retailing. </w:t>
      </w:r>
    </w:p>
    <w:p w:rsidR="00F6530A" w:rsidRDefault="00F6530A">
      <w:pPr>
        <w:rPr>
          <w:rFonts w:asciiTheme="minorHAnsi" w:hAnsiTheme="minorHAnsi"/>
          <w:color w:val="000000"/>
          <w:sz w:val="22"/>
          <w:szCs w:val="22"/>
        </w:rPr>
      </w:pPr>
    </w:p>
    <w:p w:rsidR="00F6530A" w:rsidRDefault="001C1731">
      <w:pPr>
        <w:rPr>
          <w:rFonts w:asciiTheme="minorHAnsi" w:hAnsiTheme="minorHAnsi"/>
          <w:b/>
          <w:color w:val="000000"/>
          <w:sz w:val="22"/>
          <w:szCs w:val="22"/>
        </w:rPr>
      </w:pPr>
      <w:r>
        <w:rPr>
          <w:rFonts w:asciiTheme="minorHAnsi" w:hAnsiTheme="minorHAnsi"/>
          <w:b/>
          <w:color w:val="000000"/>
          <w:sz w:val="22"/>
          <w:szCs w:val="22"/>
        </w:rPr>
        <w:t>Case: Springfield Nor’easters</w:t>
      </w:r>
    </w:p>
    <w:p w:rsidR="00F6530A" w:rsidRDefault="00F6530A">
      <w:pPr>
        <w:rPr>
          <w:rFonts w:asciiTheme="minorHAnsi" w:hAnsiTheme="minorHAnsi"/>
          <w:b/>
          <w:bCs/>
          <w:color w:val="000000"/>
          <w:sz w:val="22"/>
          <w:szCs w:val="22"/>
        </w:rPr>
      </w:pPr>
    </w:p>
    <w:p w:rsidR="00F6530A" w:rsidRDefault="00F6530A">
      <w:pPr>
        <w:rPr>
          <w:rFonts w:asciiTheme="minorHAnsi" w:hAnsiTheme="minorHAnsi"/>
          <w:bCs/>
          <w:sz w:val="22"/>
          <w:szCs w:val="22"/>
        </w:rPr>
      </w:pPr>
    </w:p>
    <w:p w:rsidR="00F6530A" w:rsidRDefault="001C1731">
      <w:pPr>
        <w:rPr>
          <w:rFonts w:asciiTheme="minorHAnsi" w:hAnsiTheme="minorHAnsi"/>
          <w:b/>
          <w:bCs/>
          <w:sz w:val="22"/>
          <w:szCs w:val="22"/>
        </w:rPr>
      </w:pPr>
      <w:r>
        <w:rPr>
          <w:rFonts w:asciiTheme="minorHAnsi" w:hAnsiTheme="minorHAnsi"/>
          <w:b/>
          <w:bCs/>
          <w:sz w:val="22"/>
          <w:szCs w:val="22"/>
        </w:rPr>
        <w:t>Session 10</w:t>
      </w:r>
      <w:r>
        <w:rPr>
          <w:rFonts w:asciiTheme="minorHAnsi" w:hAnsiTheme="minorHAnsi"/>
          <w:b/>
          <w:bCs/>
          <w:sz w:val="22"/>
          <w:szCs w:val="22"/>
        </w:rPr>
        <w:tab/>
        <w:t>Nonlinear Pricing and Bundling</w:t>
      </w:r>
      <w:r>
        <w:rPr>
          <w:rFonts w:asciiTheme="minorHAnsi" w:hAnsiTheme="minorHAnsi"/>
          <w:b/>
          <w:bCs/>
          <w:sz w:val="22"/>
          <w:szCs w:val="22"/>
        </w:rPr>
        <w:tab/>
      </w:r>
      <w:r>
        <w:rPr>
          <w:rFonts w:asciiTheme="minorHAnsi" w:hAnsiTheme="minorHAnsi"/>
          <w:b/>
          <w:bCs/>
          <w:sz w:val="22"/>
          <w:szCs w:val="22"/>
        </w:rPr>
        <w:tab/>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 xml:space="preserve">We will learn in the different contexts in which nonlinear pricing makes sense. We will also discuss different forms of nonlinear pricing and will construct nonlinear pricing schedules based on data. </w:t>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Reading: “Why Cable Companies Bundle Their Channels,” The New Yorker, Jan. 25, 2010.</w:t>
      </w:r>
    </w:p>
    <w:p w:rsidR="00F6530A" w:rsidRDefault="00F6530A">
      <w:pPr>
        <w:rPr>
          <w:rFonts w:asciiTheme="minorHAnsi" w:hAnsiTheme="minorHAnsi"/>
          <w:color w:val="000000"/>
          <w:sz w:val="22"/>
          <w:szCs w:val="22"/>
        </w:rPr>
      </w:pPr>
    </w:p>
    <w:p w:rsidR="00F6530A" w:rsidRDefault="00F6530A">
      <w:pPr>
        <w:rPr>
          <w:rFonts w:asciiTheme="minorHAnsi" w:hAnsiTheme="minorHAnsi"/>
          <w:color w:val="000000"/>
          <w:sz w:val="22"/>
          <w:szCs w:val="22"/>
        </w:rPr>
      </w:pPr>
    </w:p>
    <w:p w:rsidR="00F6530A" w:rsidRDefault="001C1731">
      <w:pPr>
        <w:rPr>
          <w:rFonts w:asciiTheme="minorHAnsi" w:hAnsiTheme="minorHAnsi"/>
          <w:b/>
          <w:color w:val="000000"/>
          <w:sz w:val="22"/>
          <w:szCs w:val="22"/>
        </w:rPr>
      </w:pPr>
      <w:r>
        <w:rPr>
          <w:rFonts w:asciiTheme="minorHAnsi" w:hAnsiTheme="minorHAnsi"/>
          <w:b/>
          <w:color w:val="000000"/>
          <w:sz w:val="22"/>
          <w:szCs w:val="22"/>
        </w:rPr>
        <w:t>Session 11</w:t>
      </w:r>
      <w:r>
        <w:rPr>
          <w:rFonts w:asciiTheme="minorHAnsi" w:hAnsiTheme="minorHAnsi"/>
          <w:b/>
          <w:color w:val="000000"/>
          <w:sz w:val="22"/>
          <w:szCs w:val="22"/>
        </w:rPr>
        <w:tab/>
        <w:t>Subscription Pricing</w:t>
      </w:r>
    </w:p>
    <w:p w:rsidR="00F6530A" w:rsidRDefault="00F6530A">
      <w:pPr>
        <w:rPr>
          <w:rFonts w:asciiTheme="minorHAnsi" w:hAnsiTheme="minorHAnsi"/>
          <w:color w:val="000000"/>
          <w:sz w:val="22"/>
          <w:szCs w:val="22"/>
        </w:rPr>
      </w:pPr>
    </w:p>
    <w:p w:rsidR="00F6530A" w:rsidRDefault="001C1731">
      <w:pPr>
        <w:rPr>
          <w:rFonts w:asciiTheme="minorHAnsi" w:hAnsiTheme="minorHAnsi"/>
          <w:bCs/>
          <w:color w:val="000000"/>
          <w:sz w:val="22"/>
          <w:szCs w:val="22"/>
        </w:rPr>
      </w:pPr>
      <w:r>
        <w:rPr>
          <w:rFonts w:asciiTheme="minorHAnsi" w:hAnsiTheme="minorHAnsi"/>
          <w:bCs/>
          <w:color w:val="000000"/>
          <w:sz w:val="22"/>
          <w:szCs w:val="22"/>
        </w:rPr>
        <w:t xml:space="preserve">We will study how to price subscription services. We will also discuss the issues that are involved in moving </w:t>
      </w:r>
      <w:r w:rsidR="001F4F81">
        <w:rPr>
          <w:rFonts w:asciiTheme="minorHAnsi" w:hAnsiTheme="minorHAnsi"/>
          <w:bCs/>
          <w:color w:val="000000"/>
          <w:sz w:val="22"/>
          <w:szCs w:val="22"/>
        </w:rPr>
        <w:t xml:space="preserve">software </w:t>
      </w:r>
      <w:r>
        <w:rPr>
          <w:rFonts w:asciiTheme="minorHAnsi" w:hAnsiTheme="minorHAnsi"/>
          <w:bCs/>
          <w:color w:val="000000"/>
          <w:sz w:val="22"/>
          <w:szCs w:val="22"/>
        </w:rPr>
        <w:t xml:space="preserve">products to the cloud. </w:t>
      </w:r>
    </w:p>
    <w:p w:rsidR="00F6530A" w:rsidRDefault="00F6530A">
      <w:pPr>
        <w:rPr>
          <w:rFonts w:asciiTheme="minorHAnsi" w:hAnsiTheme="minorHAnsi"/>
          <w:bCs/>
          <w:color w:val="000000"/>
          <w:sz w:val="22"/>
          <w:szCs w:val="22"/>
        </w:rPr>
      </w:pPr>
    </w:p>
    <w:p w:rsidR="00F6530A" w:rsidRDefault="001C1731">
      <w:r>
        <w:rPr>
          <w:rFonts w:asciiTheme="minorHAnsi" w:hAnsiTheme="minorHAnsi"/>
          <w:b/>
          <w:color w:val="000000"/>
          <w:sz w:val="22"/>
          <w:szCs w:val="22"/>
        </w:rPr>
        <w:t>Session 12</w:t>
      </w:r>
      <w:r>
        <w:rPr>
          <w:rFonts w:asciiTheme="minorHAnsi" w:hAnsiTheme="minorHAnsi"/>
          <w:b/>
          <w:color w:val="000000"/>
          <w:sz w:val="22"/>
          <w:szCs w:val="22"/>
        </w:rPr>
        <w:tab/>
        <w:t>Integrative Case</w:t>
      </w:r>
      <w:r>
        <w:rPr>
          <w:rFonts w:asciiTheme="minorHAnsi" w:hAnsiTheme="minorHAnsi"/>
          <w:b/>
          <w:color w:val="000000"/>
          <w:sz w:val="22"/>
          <w:szCs w:val="22"/>
        </w:rPr>
        <w:tab/>
      </w:r>
      <w:r>
        <w:rPr>
          <w:rFonts w:asciiTheme="minorHAnsi" w:hAnsiTheme="minorHAnsi"/>
          <w:b/>
          <w:color w:val="000000"/>
          <w:sz w:val="22"/>
          <w:szCs w:val="22"/>
        </w:rPr>
        <w:tab/>
      </w:r>
      <w:r>
        <w:rPr>
          <w:rFonts w:asciiTheme="minorHAnsi" w:hAnsiTheme="minorHAnsi"/>
          <w:b/>
          <w:color w:val="000000"/>
          <w:sz w:val="22"/>
          <w:szCs w:val="22"/>
        </w:rPr>
        <w:tab/>
      </w:r>
    </w:p>
    <w:p w:rsidR="00F6530A" w:rsidRDefault="00F6530A">
      <w:pPr>
        <w:rPr>
          <w:rFonts w:asciiTheme="minorHAnsi" w:hAnsiTheme="minorHAnsi"/>
          <w:color w:val="000000"/>
          <w:sz w:val="22"/>
          <w:szCs w:val="22"/>
        </w:rPr>
      </w:pPr>
    </w:p>
    <w:p w:rsidR="00F6530A" w:rsidRDefault="001C1731">
      <w:pPr>
        <w:rPr>
          <w:rFonts w:asciiTheme="minorHAnsi" w:hAnsiTheme="minorHAnsi"/>
          <w:color w:val="000000"/>
          <w:sz w:val="22"/>
          <w:szCs w:val="22"/>
        </w:rPr>
      </w:pPr>
      <w:r>
        <w:rPr>
          <w:rFonts w:asciiTheme="minorHAnsi" w:hAnsiTheme="minorHAnsi"/>
          <w:color w:val="000000"/>
          <w:sz w:val="22"/>
          <w:szCs w:val="22"/>
        </w:rPr>
        <w:t>We will discuss the integrative case, Fortis Industries, which ties together many of the fundamental concepts we have covered in the course</w:t>
      </w:r>
    </w:p>
    <w:p w:rsidR="00F6530A" w:rsidRDefault="00F6530A">
      <w:pPr>
        <w:rPr>
          <w:rFonts w:asciiTheme="minorHAnsi" w:hAnsiTheme="minorHAnsi"/>
          <w:b/>
          <w:color w:val="000000"/>
          <w:sz w:val="22"/>
          <w:szCs w:val="22"/>
        </w:rPr>
      </w:pPr>
    </w:p>
    <w:p w:rsidR="00F6530A" w:rsidRDefault="001C1731">
      <w:r>
        <w:rPr>
          <w:rFonts w:asciiTheme="minorHAnsi" w:hAnsiTheme="minorHAnsi"/>
          <w:b/>
          <w:color w:val="000000"/>
          <w:sz w:val="22"/>
          <w:szCs w:val="22"/>
        </w:rPr>
        <w:t>Case: Fortis Industries [HBS 9-511-079]</w:t>
      </w:r>
    </w:p>
    <w:sectPr w:rsidR="00F6530A">
      <w:headerReference w:type="default" r:id="rId8"/>
      <w:footerReference w:type="default" r:id="rId9"/>
      <w:pgSz w:w="12240" w:h="15840"/>
      <w:pgMar w:top="1152" w:right="1296" w:bottom="1152" w:left="1296" w:header="576" w:footer="576"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1D" w:rsidRDefault="0078511D">
      <w:r>
        <w:separator/>
      </w:r>
    </w:p>
  </w:endnote>
  <w:endnote w:type="continuationSeparator" w:id="0">
    <w:p w:rsidR="0078511D" w:rsidRDefault="0078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0A" w:rsidRDefault="00F6530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1D" w:rsidRDefault="0078511D">
      <w:r>
        <w:separator/>
      </w:r>
    </w:p>
  </w:footnote>
  <w:footnote w:type="continuationSeparator" w:id="0">
    <w:p w:rsidR="0078511D" w:rsidRDefault="0078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0A" w:rsidRDefault="00F653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8D2"/>
    <w:multiLevelType w:val="multilevel"/>
    <w:tmpl w:val="0EECF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8C23F6"/>
    <w:multiLevelType w:val="multilevel"/>
    <w:tmpl w:val="BAF0FB3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60E2A84"/>
    <w:multiLevelType w:val="multilevel"/>
    <w:tmpl w:val="8760D3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352717"/>
    <w:multiLevelType w:val="multilevel"/>
    <w:tmpl w:val="B18CE3F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947FED"/>
    <w:multiLevelType w:val="multilevel"/>
    <w:tmpl w:val="1B82C5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89358C"/>
    <w:multiLevelType w:val="multilevel"/>
    <w:tmpl w:val="07AA6CD0"/>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53C14C08"/>
    <w:multiLevelType w:val="multilevel"/>
    <w:tmpl w:val="0268A14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1EB32CF"/>
    <w:multiLevelType w:val="multilevel"/>
    <w:tmpl w:val="D15AFC0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D3F4F56"/>
    <w:multiLevelType w:val="multilevel"/>
    <w:tmpl w:val="B768B0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2"/>
  </w:num>
  <w:num w:numId="3">
    <w:abstractNumId w:val="1"/>
  </w:num>
  <w:num w:numId="4">
    <w:abstractNumId w:val="3"/>
  </w:num>
  <w:num w:numId="5">
    <w:abstractNumId w:val="4"/>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0A"/>
    <w:rsid w:val="001C1731"/>
    <w:rsid w:val="001F4F81"/>
    <w:rsid w:val="0050288B"/>
    <w:rsid w:val="0075544A"/>
    <w:rsid w:val="0078511D"/>
    <w:rsid w:val="009F54C6"/>
    <w:rsid w:val="00E221EB"/>
    <w:rsid w:val="00E424FE"/>
    <w:rsid w:val="00F6530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FFF18-C429-4EEF-AA4A-E610502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4"/>
    <w:pPr>
      <w:suppressAutoHyphens/>
    </w:pPr>
    <w:rPr>
      <w:color w:val="00000A"/>
      <w:sz w:val="24"/>
    </w:rPr>
  </w:style>
  <w:style w:type="paragraph" w:styleId="Heading1">
    <w:name w:val="heading 1"/>
    <w:basedOn w:val="Normal"/>
    <w:next w:val="Normal"/>
    <w:qFormat/>
    <w:rsid w:val="00952BA2"/>
    <w:pPr>
      <w:keepNext/>
      <w:outlineLvl w:val="0"/>
    </w:pPr>
    <w:rPr>
      <w:b/>
    </w:rPr>
  </w:style>
  <w:style w:type="paragraph" w:styleId="Heading2">
    <w:name w:val="heading 2"/>
    <w:basedOn w:val="Normal"/>
    <w:next w:val="Normal"/>
    <w:qFormat/>
    <w:rsid w:val="00952BA2"/>
    <w:pPr>
      <w:keepNext/>
      <w:ind w:left="720" w:firstLine="720"/>
      <w:outlineLvl w:val="1"/>
    </w:pPr>
    <w:rPr>
      <w:b/>
    </w:rPr>
  </w:style>
  <w:style w:type="paragraph" w:styleId="Heading3">
    <w:name w:val="heading 3"/>
    <w:basedOn w:val="Normal"/>
    <w:next w:val="Normal"/>
    <w:qFormat/>
    <w:rsid w:val="00952BA2"/>
    <w:pPr>
      <w:keepNext/>
      <w:outlineLvl w:val="2"/>
    </w:pPr>
    <w:rPr>
      <w:b/>
      <w:color w:val="000000"/>
      <w:sz w:val="28"/>
    </w:rPr>
  </w:style>
  <w:style w:type="paragraph" w:styleId="Heading4">
    <w:name w:val="heading 4"/>
    <w:basedOn w:val="Normal"/>
    <w:next w:val="Normal"/>
    <w:qFormat/>
    <w:rsid w:val="00952BA2"/>
    <w:pPr>
      <w:keepNext/>
      <w:outlineLvl w:val="3"/>
    </w:pPr>
    <w:rPr>
      <w:b/>
      <w:color w:val="000000"/>
    </w:rPr>
  </w:style>
  <w:style w:type="paragraph" w:styleId="Heading5">
    <w:name w:val="heading 5"/>
    <w:basedOn w:val="Normal"/>
    <w:next w:val="Normal"/>
    <w:qFormat/>
    <w:rsid w:val="00952BA2"/>
    <w:pPr>
      <w:keepNext/>
      <w:ind w:left="1440"/>
      <w:outlineLvl w:val="4"/>
    </w:pPr>
    <w:rPr>
      <w:b/>
      <w:color w:val="000000"/>
    </w:rPr>
  </w:style>
  <w:style w:type="paragraph" w:styleId="Heading6">
    <w:name w:val="heading 6"/>
    <w:basedOn w:val="Normal"/>
    <w:next w:val="Normal"/>
    <w:qFormat/>
    <w:rsid w:val="00952BA2"/>
    <w:pPr>
      <w:keepNext/>
      <w:ind w:left="1440"/>
      <w:outlineLvl w:val="5"/>
    </w:pPr>
    <w:rPr>
      <w:b/>
      <w:color w:val="000000"/>
      <w:u w:val="single"/>
    </w:rPr>
  </w:style>
  <w:style w:type="paragraph" w:styleId="Heading7">
    <w:name w:val="heading 7"/>
    <w:basedOn w:val="Normal"/>
    <w:next w:val="Normal"/>
    <w:qFormat/>
    <w:rsid w:val="00952BA2"/>
    <w:pPr>
      <w:keepNext/>
      <w:outlineLvl w:val="6"/>
    </w:pPr>
    <w:rPr>
      <w:b/>
      <w:sz w:val="32"/>
    </w:rPr>
  </w:style>
  <w:style w:type="paragraph" w:styleId="Heading8">
    <w:name w:val="heading 8"/>
    <w:basedOn w:val="Normal"/>
    <w:next w:val="Normal"/>
    <w:qFormat/>
    <w:rsid w:val="00952BA2"/>
    <w:pPr>
      <w:keepNext/>
      <w:outlineLvl w:val="7"/>
    </w:pPr>
    <w:rPr>
      <w:u w:val="single"/>
    </w:rPr>
  </w:style>
  <w:style w:type="paragraph" w:styleId="Heading9">
    <w:name w:val="heading 9"/>
    <w:basedOn w:val="Normal"/>
    <w:next w:val="Normal"/>
    <w:qFormat/>
    <w:rsid w:val="00952BA2"/>
    <w:pPr>
      <w:keepNext/>
      <w:ind w:left="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52BA2"/>
    <w:rPr>
      <w:color w:val="0000FF"/>
      <w:u w:val="single"/>
    </w:rPr>
  </w:style>
  <w:style w:type="character" w:styleId="PageNumber">
    <w:name w:val="page number"/>
    <w:basedOn w:val="DefaultParagraphFont"/>
    <w:qFormat/>
    <w:rsid w:val="00952BA2"/>
  </w:style>
  <w:style w:type="character" w:styleId="FollowedHyperlink">
    <w:name w:val="FollowedHyperlink"/>
    <w:basedOn w:val="DefaultParagraphFont"/>
    <w:qFormat/>
    <w:rsid w:val="00952BA2"/>
    <w:rPr>
      <w:color w:val="000000"/>
      <w:u w:val="single"/>
    </w:rPr>
  </w:style>
  <w:style w:type="character" w:customStyle="1" w:styleId="pagetitlespan">
    <w:name w:val="pagetitlespan"/>
    <w:basedOn w:val="DefaultParagraphFont"/>
    <w:qFormat/>
    <w:rsid w:val="001E23E8"/>
  </w:style>
  <w:style w:type="character" w:customStyle="1" w:styleId="PlainTextChar">
    <w:name w:val="Plain Text Char"/>
    <w:basedOn w:val="DefaultParagraphFont"/>
    <w:link w:val="PlainText"/>
    <w:uiPriority w:val="99"/>
    <w:qFormat/>
    <w:rsid w:val="00BF4A0E"/>
    <w:rPr>
      <w:rFonts w:ascii="Consolas" w:eastAsia="Calibri" w:hAnsi="Consolas" w:cs="Times New Roman"/>
      <w:sz w:val="21"/>
      <w:szCs w:val="21"/>
    </w:rPr>
  </w:style>
  <w:style w:type="character" w:customStyle="1" w:styleId="FooterChar">
    <w:name w:val="Footer Char"/>
    <w:basedOn w:val="DefaultParagraphFont"/>
    <w:link w:val="Footer"/>
    <w:uiPriority w:val="99"/>
    <w:qFormat/>
    <w:rsid w:val="00DA3275"/>
    <w:rPr>
      <w:sz w:val="24"/>
    </w:rPr>
  </w:style>
  <w:style w:type="character" w:customStyle="1" w:styleId="ListLabel1">
    <w:name w:val="ListLabel 1"/>
    <w:qFormat/>
    <w:rPr>
      <w:rFonts w:cs="Courier New"/>
    </w:rPr>
  </w:style>
  <w:style w:type="character" w:customStyle="1" w:styleId="ListLabel2">
    <w:name w:val="ListLabel 2"/>
    <w:qFormat/>
    <w:rPr>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NumberingSymbols">
    <w:name w:val="Numbering Symbols"/>
    <w:qFormat/>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b/>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b/>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b/>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b/>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b/>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b/>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b/>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b/>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b/>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b/>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b/>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b/>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b/>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b/>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b/>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b/>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b/>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b/>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b/>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b/>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Calibri" w:hAnsi="Calibri" w:cs="Symbol"/>
      <w:b/>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b/>
      <w:sz w:val="22"/>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Calibri" w:hAnsi="Calibri" w:cs="Symbo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b/>
      <w:sz w:val="22"/>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Calibri" w:hAnsi="Calibri" w:cs="Symbol"/>
      <w:b/>
      <w:sz w:val="22"/>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b/>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sz w:val="22"/>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alibri" w:hAnsi="Calibri" w:cs="Symbol"/>
      <w:b/>
      <w:sz w:val="22"/>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b/>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sz w:val="22"/>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Calibri" w:hAnsi="Calibri" w:cs="Symbol"/>
      <w:b/>
      <w:sz w:val="22"/>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b/>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b/>
      <w:sz w:val="22"/>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Calibri" w:hAnsi="Calibri" w:cs="Symbol"/>
      <w:sz w:val="22"/>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Calibri" w:hAnsi="Calibri" w:cs="Symbol"/>
      <w:sz w:val="22"/>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Calibri" w:hAnsi="Calibri" w:cs="Symbol"/>
      <w:b/>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b/>
      <w:sz w:val="22"/>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Calibri" w:hAnsi="Calibri" w:cs="Symbol"/>
      <w:b/>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b/>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libri" w:hAnsi="Calibri" w:cs="Symbol"/>
      <w:b/>
      <w:sz w:val="22"/>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b/>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b/>
      <w:sz w:val="22"/>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Calibri" w:hAnsi="Calibri" w:cs="Symbol"/>
      <w:b/>
      <w:sz w:val="22"/>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b/>
      <w:sz w:val="22"/>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b/>
      <w:sz w:val="22"/>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Calibri" w:hAnsi="Calibri" w:cs="Symbol"/>
      <w:b/>
      <w:sz w:val="22"/>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b/>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b/>
      <w:sz w:val="22"/>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Calibri" w:hAnsi="Calibri" w:cs="Symbol"/>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Calibri" w:hAnsi="Calibri" w:cs="Symbol"/>
      <w:sz w:val="22"/>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paragraph" w:customStyle="1" w:styleId="Heading">
    <w:name w:val="Heading"/>
    <w:basedOn w:val="Normal"/>
    <w:next w:val="BodyText1"/>
    <w:qFormat/>
    <w:pPr>
      <w:keepNext/>
      <w:spacing w:before="240" w:after="120"/>
    </w:pPr>
    <w:rPr>
      <w:rFonts w:ascii="Cambria" w:eastAsia="Droid Sans Fallback" w:hAnsi="Cambria" w:cs="FreeSans"/>
      <w:sz w:val="28"/>
      <w:szCs w:val="28"/>
    </w:rPr>
  </w:style>
  <w:style w:type="paragraph" w:customStyle="1" w:styleId="BodyText1">
    <w:name w:val="Body Text1"/>
    <w:basedOn w:val="Normal"/>
    <w:rsid w:val="00952BA2"/>
    <w:pPr>
      <w:spacing w:after="140" w:line="288" w:lineRule="auto"/>
    </w:pPr>
    <w:rPr>
      <w:b/>
      <w:color w:val="000000"/>
      <w:sz w:val="28"/>
    </w:rPr>
  </w:style>
  <w:style w:type="paragraph" w:styleId="List">
    <w:name w:val="List"/>
    <w:basedOn w:val="BodyText1"/>
    <w:rPr>
      <w:rFonts w:ascii="Calibri" w:hAnsi="Calibri" w:cs="FreeSans"/>
    </w:rPr>
  </w:style>
  <w:style w:type="paragraph" w:styleId="Caption">
    <w:name w:val="caption"/>
    <w:basedOn w:val="Normal"/>
    <w:qFormat/>
    <w:pPr>
      <w:suppressLineNumbers/>
      <w:spacing w:before="120" w:after="120"/>
    </w:pPr>
    <w:rPr>
      <w:rFonts w:ascii="Calibri" w:hAnsi="Calibri" w:cs="FreeSans"/>
      <w:i/>
      <w:iCs/>
      <w:szCs w:val="24"/>
    </w:rPr>
  </w:style>
  <w:style w:type="paragraph" w:customStyle="1" w:styleId="Index">
    <w:name w:val="Index"/>
    <w:basedOn w:val="Normal"/>
    <w:qFormat/>
    <w:pPr>
      <w:suppressLineNumbers/>
    </w:pPr>
    <w:rPr>
      <w:rFonts w:ascii="Calibri" w:hAnsi="Calibri" w:cs="FreeSans"/>
    </w:rPr>
  </w:style>
  <w:style w:type="paragraph" w:styleId="Header">
    <w:name w:val="header"/>
    <w:basedOn w:val="Normal"/>
    <w:rsid w:val="00952BA2"/>
    <w:pPr>
      <w:tabs>
        <w:tab w:val="center" w:pos="4320"/>
        <w:tab w:val="right" w:pos="8640"/>
      </w:tabs>
    </w:pPr>
  </w:style>
  <w:style w:type="paragraph" w:styleId="Footer">
    <w:name w:val="footer"/>
    <w:basedOn w:val="Normal"/>
    <w:link w:val="FooterChar"/>
    <w:uiPriority w:val="99"/>
    <w:rsid w:val="00952BA2"/>
    <w:pPr>
      <w:tabs>
        <w:tab w:val="center" w:pos="4320"/>
        <w:tab w:val="right" w:pos="8640"/>
      </w:tabs>
    </w:pPr>
  </w:style>
  <w:style w:type="paragraph" w:styleId="BodyText2">
    <w:name w:val="Body Text 2"/>
    <w:basedOn w:val="Normal"/>
    <w:qFormat/>
    <w:rsid w:val="00952BA2"/>
    <w:rPr>
      <w:color w:val="000000"/>
    </w:rPr>
  </w:style>
  <w:style w:type="paragraph" w:styleId="BodyText3">
    <w:name w:val="Body Text 3"/>
    <w:basedOn w:val="Normal"/>
    <w:qFormat/>
    <w:rsid w:val="00952BA2"/>
    <w:rPr>
      <w:b/>
    </w:rPr>
  </w:style>
  <w:style w:type="paragraph" w:styleId="BalloonText">
    <w:name w:val="Balloon Text"/>
    <w:basedOn w:val="Normal"/>
    <w:semiHidden/>
    <w:qFormat/>
    <w:rsid w:val="00952BA2"/>
    <w:rPr>
      <w:rFonts w:ascii="Tahoma" w:hAnsi="Tahoma" w:cs="Tahoma"/>
      <w:sz w:val="16"/>
      <w:szCs w:val="16"/>
    </w:rPr>
  </w:style>
  <w:style w:type="paragraph" w:styleId="ListParagraph">
    <w:name w:val="List Paragraph"/>
    <w:basedOn w:val="Normal"/>
    <w:uiPriority w:val="34"/>
    <w:qFormat/>
    <w:rsid w:val="00447D73"/>
    <w:pPr>
      <w:ind w:left="720"/>
    </w:pPr>
  </w:style>
  <w:style w:type="paragraph" w:styleId="PlainText">
    <w:name w:val="Plain Text"/>
    <w:basedOn w:val="Normal"/>
    <w:link w:val="PlainTextChar"/>
    <w:uiPriority w:val="99"/>
    <w:unhideWhenUsed/>
    <w:qFormat/>
    <w:rsid w:val="00BF4A0E"/>
    <w:rPr>
      <w:rFonts w:ascii="Consolas" w:eastAsia="Calibri" w:hAnsi="Consolas"/>
      <w:sz w:val="21"/>
      <w:szCs w:val="21"/>
    </w:rPr>
  </w:style>
  <w:style w:type="paragraph" w:styleId="NormalWeb">
    <w:name w:val="Normal (Web)"/>
    <w:basedOn w:val="Normal"/>
    <w:uiPriority w:val="99"/>
    <w:qFormat/>
    <w:rsid w:val="002071D5"/>
    <w:pPr>
      <w:spacing w:after="280"/>
    </w:pPr>
    <w:rPr>
      <w:rFonts w:ascii="Arial Unicode MS" w:eastAsia="Arial Unicode MS" w:hAnsi="Arial Unicode MS" w:cs="Arial Unicode MS"/>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CA5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1">
    <w:name w:val="Colorful List Accent 1"/>
    <w:basedOn w:val="TableNormal"/>
    <w:uiPriority w:val="72"/>
    <w:rsid w:val="006B076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Pricing Strategies</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Strategies</dc:title>
  <dc:subject/>
  <dc:creator>Brett Gordon</dc:creator>
  <dc:description/>
  <cp:lastModifiedBy>Ansari</cp:lastModifiedBy>
  <cp:revision>2</cp:revision>
  <cp:lastPrinted>2016-10-30T21:38:00Z</cp:lastPrinted>
  <dcterms:created xsi:type="dcterms:W3CDTF">2017-11-06T21:39:00Z</dcterms:created>
  <dcterms:modified xsi:type="dcterms:W3CDTF">2017-11-06T21:39:00Z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