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F2F1" w14:textId="77777777" w:rsidR="00CC225D" w:rsidRDefault="00CC225D" w:rsidP="00A84C9E">
      <w:pPr>
        <w:pStyle w:val="Title"/>
        <w:rPr>
          <w:color w:val="0081CC"/>
        </w:rPr>
      </w:pPr>
    </w:p>
    <w:p w14:paraId="29EC81F2" w14:textId="49BE9668" w:rsidR="00206A33" w:rsidRPr="00E77E59" w:rsidRDefault="00F4756D" w:rsidP="00A84C9E">
      <w:pPr>
        <w:pStyle w:val="Title"/>
        <w:rPr>
          <w:color w:val="0081CC"/>
        </w:rPr>
      </w:pPr>
      <w:r w:rsidRPr="00E77E59">
        <w:rPr>
          <w:color w:val="0081CC"/>
        </w:rPr>
        <w:t xml:space="preserve">B8333: </w:t>
      </w:r>
      <w:r w:rsidR="00206A33" w:rsidRPr="00E77E59">
        <w:rPr>
          <w:color w:val="0081CC"/>
        </w:rPr>
        <w:t>Real Estate Capital Markets</w:t>
      </w:r>
      <w:r w:rsidR="00D3328A" w:rsidRPr="00E77E59">
        <w:rPr>
          <w:color w:val="0081CC"/>
        </w:rPr>
        <w:t xml:space="preserve"> (“RECM”)</w:t>
      </w:r>
    </w:p>
    <w:p w14:paraId="74ADA386" w14:textId="7B23886C" w:rsidR="009A73AA" w:rsidRPr="009A73AA" w:rsidRDefault="009A73AA" w:rsidP="00A84C9E">
      <w:pPr>
        <w:rPr>
          <w:b/>
          <w:sz w:val="28"/>
          <w:lang w:eastAsia="ja-JP"/>
        </w:rPr>
      </w:pPr>
      <w:r w:rsidRPr="009A73AA">
        <w:rPr>
          <w:b/>
          <w:sz w:val="28"/>
          <w:lang w:eastAsia="ja-JP"/>
        </w:rPr>
        <w:t>Fall 201</w:t>
      </w:r>
      <w:r w:rsidR="00DD04B6">
        <w:rPr>
          <w:b/>
          <w:sz w:val="28"/>
          <w:lang w:eastAsia="ja-JP"/>
        </w:rPr>
        <w:t>6</w:t>
      </w:r>
      <w:r w:rsidR="008E16FA">
        <w:rPr>
          <w:b/>
          <w:sz w:val="28"/>
          <w:lang w:eastAsia="ja-JP"/>
        </w:rPr>
        <w:t xml:space="preserve"> – Preliminary Syllabus</w:t>
      </w:r>
    </w:p>
    <w:p w14:paraId="11AC0F7F" w14:textId="089A9EDD" w:rsidR="003E236F" w:rsidRDefault="00F4756D" w:rsidP="003E236F">
      <w:pPr>
        <w:jc w:val="left"/>
        <w:rPr>
          <w:lang w:eastAsia="ja-JP"/>
        </w:rPr>
      </w:pPr>
      <w:r>
        <w:rPr>
          <w:lang w:eastAsia="ja-JP"/>
        </w:rPr>
        <w:t>Prof</w:t>
      </w:r>
      <w:r w:rsidR="00130941">
        <w:rPr>
          <w:lang w:eastAsia="ja-JP"/>
        </w:rPr>
        <w:t>essor</w:t>
      </w:r>
      <w:r>
        <w:rPr>
          <w:lang w:eastAsia="ja-JP"/>
        </w:rPr>
        <w:t xml:space="preserve"> Bradford Wildauer</w:t>
      </w:r>
      <w:r w:rsidR="003E236F">
        <w:rPr>
          <w:lang w:eastAsia="ja-JP"/>
        </w:rPr>
        <w:br/>
        <w:t>bjw21@columbia.edu</w:t>
      </w:r>
    </w:p>
    <w:p w14:paraId="084DB2CD" w14:textId="2433E790" w:rsidR="00F4756D" w:rsidRDefault="00F4756D" w:rsidP="00A84C9E">
      <w:pPr>
        <w:pStyle w:val="Heading1"/>
        <w:rPr>
          <w:lang w:eastAsia="ja-JP"/>
        </w:rPr>
      </w:pPr>
      <w:r>
        <w:rPr>
          <w:lang w:eastAsia="ja-JP"/>
        </w:rPr>
        <w:t>Prerequisite</w:t>
      </w:r>
      <w:r w:rsidR="008A78C6">
        <w:rPr>
          <w:lang w:eastAsia="ja-JP"/>
        </w:rPr>
        <w:t>s</w:t>
      </w:r>
    </w:p>
    <w:p w14:paraId="589BC804" w14:textId="08B57840" w:rsidR="00F4756D" w:rsidRPr="00F4756D" w:rsidRDefault="001A57E6" w:rsidP="00A84C9E">
      <w:pPr>
        <w:rPr>
          <w:lang w:eastAsia="ja-JP"/>
        </w:rPr>
      </w:pPr>
      <w:r>
        <w:rPr>
          <w:lang w:eastAsia="ja-JP"/>
        </w:rPr>
        <w:t>Real Estate Finance (B8</w:t>
      </w:r>
      <w:r w:rsidR="00292417">
        <w:rPr>
          <w:lang w:eastAsia="ja-JP"/>
        </w:rPr>
        <w:t>331)</w:t>
      </w:r>
      <w:r w:rsidR="002F6CCA">
        <w:rPr>
          <w:lang w:eastAsia="ja-JP"/>
        </w:rPr>
        <w:t xml:space="preserve"> </w:t>
      </w:r>
      <w:r w:rsidR="00F4756D" w:rsidRPr="00F4756D">
        <w:rPr>
          <w:lang w:eastAsia="ja-JP"/>
        </w:rPr>
        <w:t xml:space="preserve">or </w:t>
      </w:r>
      <w:r w:rsidR="00286DAC">
        <w:rPr>
          <w:lang w:eastAsia="ja-JP"/>
        </w:rPr>
        <w:t xml:space="preserve">by permission of the </w:t>
      </w:r>
      <w:r w:rsidR="00F90F1D">
        <w:rPr>
          <w:lang w:eastAsia="ja-JP"/>
        </w:rPr>
        <w:t>professor</w:t>
      </w:r>
      <w:r w:rsidR="00F4756D" w:rsidRPr="00F4756D">
        <w:rPr>
          <w:lang w:eastAsia="ja-JP"/>
        </w:rPr>
        <w:t xml:space="preserve">. </w:t>
      </w:r>
    </w:p>
    <w:p w14:paraId="39C66857" w14:textId="77777777" w:rsidR="00F4756D" w:rsidRDefault="00F4756D" w:rsidP="00A84C9E">
      <w:pPr>
        <w:pStyle w:val="Heading1"/>
        <w:rPr>
          <w:lang w:eastAsia="ja-JP"/>
        </w:rPr>
      </w:pPr>
      <w:r>
        <w:rPr>
          <w:lang w:eastAsia="ja-JP"/>
        </w:rPr>
        <w:t>Course Sessions</w:t>
      </w:r>
    </w:p>
    <w:p w14:paraId="1975CFF5" w14:textId="7C5D668F" w:rsidR="00865D09" w:rsidRDefault="00130941" w:rsidP="00865D09">
      <w:pPr>
        <w:rPr>
          <w:rFonts w:ascii="Calibri" w:hAnsi="Calibri"/>
          <w:b/>
          <w:bCs/>
          <w:sz w:val="22"/>
          <w:szCs w:val="22"/>
        </w:rPr>
      </w:pPr>
      <w:r>
        <w:rPr>
          <w:b/>
          <w:bCs/>
          <w:lang w:eastAsia="ja-JP"/>
        </w:rPr>
        <w:t xml:space="preserve">Time:  </w:t>
      </w:r>
      <w:r>
        <w:rPr>
          <w:b/>
          <w:bCs/>
        </w:rPr>
        <w:t>Full Term,</w:t>
      </w:r>
      <w:r w:rsidRPr="009F4490">
        <w:rPr>
          <w:b/>
          <w:bCs/>
          <w:lang w:eastAsia="ja-JP"/>
        </w:rPr>
        <w:t xml:space="preserve"> </w:t>
      </w:r>
      <w:proofErr w:type="gramStart"/>
      <w:r w:rsidR="00865D09" w:rsidRPr="00865D09">
        <w:rPr>
          <w:rFonts w:ascii="Cambria" w:hAnsi="Cambria"/>
          <w:b/>
          <w:bCs/>
          <w:sz w:val="22"/>
          <w:szCs w:val="22"/>
        </w:rPr>
        <w:t xml:space="preserve">Tuesday </w:t>
      </w:r>
      <w:r w:rsidR="00FE3374">
        <w:rPr>
          <w:rFonts w:ascii="Cambria" w:hAnsi="Cambria"/>
          <w:b/>
          <w:bCs/>
          <w:sz w:val="22"/>
          <w:szCs w:val="22"/>
        </w:rPr>
        <w:t xml:space="preserve"> 4</w:t>
      </w:r>
      <w:proofErr w:type="gramEnd"/>
      <w:r w:rsidR="00FE3374">
        <w:rPr>
          <w:rFonts w:ascii="Cambria" w:hAnsi="Cambria"/>
          <w:b/>
          <w:bCs/>
          <w:sz w:val="22"/>
          <w:szCs w:val="22"/>
        </w:rPr>
        <w:t>:00:00 PM</w:t>
      </w:r>
      <w:r w:rsidR="00865D09" w:rsidRPr="00865D09">
        <w:rPr>
          <w:rFonts w:ascii="Cambria" w:hAnsi="Cambria"/>
          <w:b/>
          <w:bCs/>
          <w:sz w:val="22"/>
          <w:szCs w:val="22"/>
        </w:rPr>
        <w:t xml:space="preserve"> </w:t>
      </w:r>
      <w:r w:rsidR="00865D09" w:rsidRPr="00865D09">
        <w:rPr>
          <w:rFonts w:ascii="Cambria" w:hAnsi="Cambria"/>
          <w:sz w:val="22"/>
          <w:szCs w:val="22"/>
        </w:rPr>
        <w:t xml:space="preserve">to </w:t>
      </w:r>
      <w:r w:rsidR="00865D09" w:rsidRPr="00865D09">
        <w:rPr>
          <w:rFonts w:ascii="Cambria" w:hAnsi="Cambria"/>
          <w:b/>
          <w:bCs/>
          <w:sz w:val="22"/>
          <w:szCs w:val="22"/>
        </w:rPr>
        <w:t>7:15:00 PM</w:t>
      </w:r>
    </w:p>
    <w:p w14:paraId="2E049CF3" w14:textId="6C690B71" w:rsidR="00130941" w:rsidRPr="009F4490" w:rsidRDefault="00130941" w:rsidP="00130941">
      <w:pPr>
        <w:jc w:val="left"/>
        <w:rPr>
          <w:b/>
          <w:bCs/>
          <w:lang w:eastAsia="ja-JP"/>
        </w:rPr>
      </w:pPr>
      <w:r>
        <w:rPr>
          <w:b/>
          <w:bCs/>
        </w:rPr>
        <w:t xml:space="preserve">Location:   </w:t>
      </w:r>
      <w:r w:rsidR="00865D09">
        <w:rPr>
          <w:b/>
          <w:bCs/>
        </w:rPr>
        <w:t>Uris 326</w:t>
      </w:r>
    </w:p>
    <w:p w14:paraId="7141E279" w14:textId="382AE238" w:rsidR="00206A33" w:rsidRPr="005C4E6A" w:rsidRDefault="00F4756D" w:rsidP="00A84C9E">
      <w:pPr>
        <w:pStyle w:val="Heading1"/>
      </w:pPr>
      <w:r>
        <w:t>Course Description</w:t>
      </w:r>
    </w:p>
    <w:p w14:paraId="42A3E6FC" w14:textId="550A5C35" w:rsidR="00206A33" w:rsidRPr="00A84C9E" w:rsidRDefault="00206A33" w:rsidP="00A84C9E">
      <w:r w:rsidRPr="00A84C9E">
        <w:t xml:space="preserve">Commercial real estate (“CRE”) attracts capital from a </w:t>
      </w:r>
      <w:r w:rsidR="00386EB9">
        <w:t>broad</w:t>
      </w:r>
      <w:r w:rsidRPr="00A84C9E">
        <w:t xml:space="preserve"> range of </w:t>
      </w:r>
      <w:r w:rsidR="00491CB9" w:rsidRPr="00A84C9E">
        <w:t xml:space="preserve">domestic and foreign </w:t>
      </w:r>
      <w:r w:rsidRPr="00A84C9E">
        <w:t xml:space="preserve">sources and the capital flows change in response to evolving market conditions. The flow of capital </w:t>
      </w:r>
      <w:r w:rsidR="004614D7" w:rsidRPr="00A84C9E">
        <w:t xml:space="preserve">and overall market liquidity </w:t>
      </w:r>
      <w:r w:rsidRPr="00A84C9E">
        <w:t xml:space="preserve">can often have a greater impact on property values than the trends in the underlying property market fundamentals.  Given the interdependence </w:t>
      </w:r>
      <w:r w:rsidR="00286DAC">
        <w:t xml:space="preserve">of </w:t>
      </w:r>
      <w:r w:rsidRPr="00A84C9E">
        <w:t xml:space="preserve">the global debt and equity capital markets, an understanding of the interrelationships </w:t>
      </w:r>
      <w:r w:rsidR="00386EB9">
        <w:t xml:space="preserve">across markets and </w:t>
      </w:r>
      <w:r w:rsidRPr="00A84C9E">
        <w:t xml:space="preserve">among asset sectors is necessary to evaluate emerging trends in </w:t>
      </w:r>
      <w:r w:rsidR="00286DAC">
        <w:t xml:space="preserve">CRE </w:t>
      </w:r>
      <w:r w:rsidRPr="00A84C9E">
        <w:t>capital flows.</w:t>
      </w:r>
    </w:p>
    <w:p w14:paraId="6CB1ED7D" w14:textId="07A8FAB0" w:rsidR="00491CB9" w:rsidRPr="00D123D5" w:rsidRDefault="00206A33" w:rsidP="00A84C9E">
      <w:r w:rsidRPr="00D123D5">
        <w:t xml:space="preserve">This course is designed to provide </w:t>
      </w:r>
      <w:r w:rsidR="009106C6" w:rsidRPr="00D123D5">
        <w:t xml:space="preserve">an overview of CRE capital markets, </w:t>
      </w:r>
      <w:r w:rsidRPr="00D123D5">
        <w:t xml:space="preserve">a practical </w:t>
      </w:r>
      <w:r w:rsidR="00570B12" w:rsidRPr="00D123D5">
        <w:t>knowledge</w:t>
      </w:r>
      <w:r w:rsidRPr="00D123D5">
        <w:t xml:space="preserve"> of CRE debt and equi</w:t>
      </w:r>
      <w:r w:rsidR="00570B12" w:rsidRPr="00D123D5">
        <w:t>ty capital sources</w:t>
      </w:r>
      <w:r w:rsidR="004826B2">
        <w:t>,</w:t>
      </w:r>
      <w:r w:rsidR="00570B12" w:rsidRPr="00D123D5">
        <w:t xml:space="preserve"> and a general understanding of the links between CRE capital flows and trends in the broader capital markets.</w:t>
      </w:r>
      <w:r w:rsidR="00F751E0">
        <w:t xml:space="preserve">  </w:t>
      </w:r>
      <w:r w:rsidR="00570B12" w:rsidRPr="00D123D5">
        <w:t>In the debt markets, the course will cover balance sheet first mortgage lending, first mortgage lending for securitization and commercial mortgage backed securities (“CMBS”), subordinate debt structures, including B-notes, mezzanine debt and preferred equity, and inter</w:t>
      </w:r>
      <w:r w:rsidR="00286DAC">
        <w:t>-</w:t>
      </w:r>
      <w:r w:rsidR="00570B12" w:rsidRPr="00D123D5">
        <w:t>creditor dynamics</w:t>
      </w:r>
      <w:r w:rsidR="004614D7" w:rsidRPr="00D123D5">
        <w:t xml:space="preserve"> between senior and subordinate </w:t>
      </w:r>
      <w:r w:rsidR="00286DAC">
        <w:t>structured</w:t>
      </w:r>
      <w:r w:rsidR="004614D7" w:rsidRPr="00D123D5">
        <w:t xml:space="preserve"> investments</w:t>
      </w:r>
      <w:r w:rsidR="00286DAC">
        <w:t xml:space="preserve">. The course will briefly cover </w:t>
      </w:r>
      <w:r w:rsidR="00570B12" w:rsidRPr="00D123D5">
        <w:t xml:space="preserve">alternative financing structures such as </w:t>
      </w:r>
      <w:r w:rsidR="00286DAC">
        <w:t xml:space="preserve">Federal </w:t>
      </w:r>
      <w:r w:rsidR="007678AA">
        <w:t>agency (Fannie Mae, Freddie Mac</w:t>
      </w:r>
      <w:r w:rsidR="00286DAC">
        <w:t>)</w:t>
      </w:r>
      <w:r w:rsidR="003F6148">
        <w:t xml:space="preserve"> financing</w:t>
      </w:r>
      <w:r w:rsidR="00D93676" w:rsidRPr="00D123D5">
        <w:t xml:space="preserve">. </w:t>
      </w:r>
      <w:r w:rsidR="003F6148">
        <w:t>W</w:t>
      </w:r>
      <w:r w:rsidR="004826B2">
        <w:t>e</w:t>
      </w:r>
      <w:r w:rsidR="000C0764" w:rsidRPr="00D123D5">
        <w:t xml:space="preserve"> will </w:t>
      </w:r>
      <w:r w:rsidR="004826B2">
        <w:t>discuss</w:t>
      </w:r>
      <w:r w:rsidR="000C0764" w:rsidRPr="00D123D5">
        <w:t xml:space="preserve"> </w:t>
      </w:r>
      <w:r w:rsidR="003F6148">
        <w:t xml:space="preserve">financing </w:t>
      </w:r>
      <w:r w:rsidR="000C0764" w:rsidRPr="00D123D5">
        <w:t>structures f</w:t>
      </w:r>
      <w:r w:rsidR="00DF3761">
        <w:t xml:space="preserve">or </w:t>
      </w:r>
      <w:r w:rsidR="00DD04B6">
        <w:t>cash flow</w:t>
      </w:r>
      <w:r w:rsidR="00CD036F">
        <w:t>ing and transitional properties</w:t>
      </w:r>
      <w:r w:rsidR="00286DAC" w:rsidRPr="00D123D5">
        <w:t xml:space="preserve"> and </w:t>
      </w:r>
      <w:r w:rsidR="000C0764" w:rsidRPr="00D123D5">
        <w:t>development</w:t>
      </w:r>
      <w:r w:rsidR="00286DAC">
        <w:t xml:space="preserve"> project</w:t>
      </w:r>
      <w:r w:rsidR="000C0764" w:rsidRPr="00D123D5">
        <w:t xml:space="preserve">s. </w:t>
      </w:r>
      <w:r w:rsidR="00D93676" w:rsidRPr="00D123D5">
        <w:t xml:space="preserve"> In the equity markets, </w:t>
      </w:r>
      <w:r w:rsidR="00570B12" w:rsidRPr="00D123D5">
        <w:t xml:space="preserve">we will cover the private markets including pension funds, sovereign wealth, high net worth and private </w:t>
      </w:r>
      <w:r w:rsidR="00D93676" w:rsidRPr="00D123D5">
        <w:t>equity investment strategies and public market vehicles including real estate investment trusts (“REITs”), both public traded and non-traded structures, and real estate operating companies (“REOCs”).</w:t>
      </w:r>
      <w:r w:rsidR="00F751E0" w:rsidRPr="00F751E0">
        <w:t xml:space="preserve"> </w:t>
      </w:r>
    </w:p>
    <w:p w14:paraId="7665A4D8" w14:textId="44BA7E27" w:rsidR="00D3328A" w:rsidRDefault="00491CB9" w:rsidP="00A84C9E">
      <w:r w:rsidRPr="00D123D5">
        <w:t>In addressing each topic, we will review the structural, risk and return dynamics of each capital</w:t>
      </w:r>
      <w:r w:rsidR="00286DAC">
        <w:t xml:space="preserve"> instrument </w:t>
      </w:r>
      <w:r w:rsidR="004826B2">
        <w:t>from</w:t>
      </w:r>
      <w:r w:rsidR="00286DAC">
        <w:t xml:space="preserve"> </w:t>
      </w:r>
      <w:r w:rsidRPr="00D123D5">
        <w:t xml:space="preserve">the perspectives of both capital providers and </w:t>
      </w:r>
      <w:r w:rsidR="004614D7" w:rsidRPr="00D123D5">
        <w:t>property</w:t>
      </w:r>
      <w:r w:rsidRPr="00D123D5">
        <w:t xml:space="preserve"> investors.</w:t>
      </w:r>
      <w:r w:rsidR="009106C6" w:rsidRPr="00D123D5">
        <w:t xml:space="preserve"> </w:t>
      </w:r>
      <w:r w:rsidR="0061469B" w:rsidRPr="00D123D5">
        <w:t xml:space="preserve">  For each topic, </w:t>
      </w:r>
      <w:r w:rsidR="00DA2FFC">
        <w:t>we</w:t>
      </w:r>
      <w:r w:rsidR="0061469B" w:rsidRPr="00D123D5">
        <w:t xml:space="preserve"> will review the relevant descriptive, struc</w:t>
      </w:r>
      <w:r w:rsidR="00DA2FFC">
        <w:t xml:space="preserve">tural, credit, pricing and tax </w:t>
      </w:r>
      <w:r w:rsidR="004826B2">
        <w:t>considerations</w:t>
      </w:r>
      <w:r w:rsidR="00305C60">
        <w:t xml:space="preserve"> </w:t>
      </w:r>
      <w:r w:rsidR="004826B2">
        <w:t xml:space="preserve">and </w:t>
      </w:r>
      <w:r w:rsidR="00305C60">
        <w:t>develop familiarity with the necessary analytical tools</w:t>
      </w:r>
      <w:r w:rsidR="004826B2">
        <w:t xml:space="preserve"> for structuring </w:t>
      </w:r>
      <w:r w:rsidR="004826B2">
        <w:lastRenderedPageBreak/>
        <w:t>and evaluating the investments.  My goal is for you to</w:t>
      </w:r>
      <w:r w:rsidR="00305C60">
        <w:t xml:space="preserve"> develop critical thinking </w:t>
      </w:r>
      <w:r w:rsidR="004826B2">
        <w:t>in</w:t>
      </w:r>
      <w:r w:rsidR="00305C60">
        <w:t xml:space="preserve"> assessing the utilization of</w:t>
      </w:r>
      <w:r w:rsidR="00DA2FFC">
        <w:t>,</w:t>
      </w:r>
      <w:r w:rsidR="00305C60">
        <w:t xml:space="preserve"> or an investment in</w:t>
      </w:r>
      <w:r w:rsidR="00DA2FFC">
        <w:t>,</w:t>
      </w:r>
      <w:r w:rsidR="00305C60">
        <w:t xml:space="preserve"> the </w:t>
      </w:r>
      <w:r w:rsidR="00286DAC">
        <w:t xml:space="preserve">different </w:t>
      </w:r>
      <w:r w:rsidR="00DA2FFC">
        <w:t xml:space="preserve">capital </w:t>
      </w:r>
      <w:r w:rsidR="00305C60">
        <w:t>structure</w:t>
      </w:r>
      <w:r w:rsidR="00286DAC">
        <w:t>s</w:t>
      </w:r>
      <w:r w:rsidR="00305C60">
        <w:t xml:space="preserve">. </w:t>
      </w:r>
      <w:r w:rsidR="00F751E0">
        <w:t xml:space="preserve"> To emphasize the dynamic nature of the capital markets, each week we will review current trends in pricing and structuring in th</w:t>
      </w:r>
      <w:r w:rsidR="004826B2">
        <w:t>e context of deals in the news including the weekly real estate sections of the Wall Street Journal and New York Times.</w:t>
      </w:r>
    </w:p>
    <w:p w14:paraId="11885BE9" w14:textId="3AEF44E3" w:rsidR="00DF3761" w:rsidRDefault="00DF3761" w:rsidP="00A84C9E">
      <w:r>
        <w:t xml:space="preserve">Among the themes </w:t>
      </w:r>
      <w:r w:rsidR="00895E27">
        <w:t xml:space="preserve">that will recur </w:t>
      </w:r>
      <w:r w:rsidR="0044455E">
        <w:t>throughout the course</w:t>
      </w:r>
      <w:r w:rsidR="00895E27">
        <w:t xml:space="preserve"> are the following:</w:t>
      </w:r>
    </w:p>
    <w:p w14:paraId="59762498" w14:textId="1890CA81" w:rsidR="00895E27" w:rsidRDefault="00DD7494" w:rsidP="00C55315">
      <w:pPr>
        <w:pStyle w:val="ListParagraph"/>
        <w:numPr>
          <w:ilvl w:val="0"/>
          <w:numId w:val="3"/>
        </w:numPr>
      </w:pPr>
      <w:r>
        <w:t>Impact of broader capital market events on CRE capital flows</w:t>
      </w:r>
      <w:r w:rsidR="0044455E">
        <w:t>,</w:t>
      </w:r>
      <w:r>
        <w:t xml:space="preserve"> p</w:t>
      </w:r>
      <w:r w:rsidR="00895E27">
        <w:t>ricing and liquidity</w:t>
      </w:r>
      <w:r w:rsidR="00286DAC">
        <w:t>;</w:t>
      </w:r>
      <w:r w:rsidR="00895E27">
        <w:t xml:space="preserve"> </w:t>
      </w:r>
    </w:p>
    <w:p w14:paraId="20AB1371" w14:textId="05B5792E" w:rsidR="00895E27" w:rsidRDefault="0044455E" w:rsidP="00C55315">
      <w:pPr>
        <w:pStyle w:val="ListParagraph"/>
        <w:numPr>
          <w:ilvl w:val="0"/>
          <w:numId w:val="3"/>
        </w:numPr>
      </w:pPr>
      <w:r>
        <w:t>Evaluating</w:t>
      </w:r>
      <w:r w:rsidR="00895E27">
        <w:t xml:space="preserve"> risk and return drivers for capital sources and investment structures</w:t>
      </w:r>
      <w:r w:rsidR="00286DAC">
        <w:t>;</w:t>
      </w:r>
    </w:p>
    <w:p w14:paraId="07642A46" w14:textId="3BBFAF1C" w:rsidR="009A73AA" w:rsidRDefault="00DD7494" w:rsidP="00C55315">
      <w:pPr>
        <w:pStyle w:val="ListParagraph"/>
        <w:numPr>
          <w:ilvl w:val="0"/>
          <w:numId w:val="3"/>
        </w:numPr>
      </w:pPr>
      <w:r>
        <w:t xml:space="preserve">Impact of </w:t>
      </w:r>
      <w:r w:rsidR="004826B2">
        <w:t xml:space="preserve">capital </w:t>
      </w:r>
      <w:r w:rsidR="009A73AA">
        <w:t>market perceptions regarding sponsorship, property types and geography</w:t>
      </w:r>
      <w:r w:rsidR="00286DAC">
        <w:t>;</w:t>
      </w:r>
    </w:p>
    <w:p w14:paraId="5D9CCE22" w14:textId="4041CAE9" w:rsidR="00895E27" w:rsidRDefault="00895E27" w:rsidP="00C55315">
      <w:pPr>
        <w:pStyle w:val="ListParagraph"/>
        <w:numPr>
          <w:ilvl w:val="0"/>
          <w:numId w:val="3"/>
        </w:numPr>
      </w:pPr>
      <w:r>
        <w:t>Capital tradeoffs and tailoring capital structure to project development, operating and ownership objectives</w:t>
      </w:r>
      <w:r w:rsidR="00286DAC">
        <w:t>;</w:t>
      </w:r>
    </w:p>
    <w:p w14:paraId="5E15A33A" w14:textId="37122E2A" w:rsidR="00895E27" w:rsidRDefault="009B2BA5" w:rsidP="00C55315">
      <w:pPr>
        <w:pStyle w:val="ListParagraph"/>
        <w:numPr>
          <w:ilvl w:val="0"/>
          <w:numId w:val="3"/>
        </w:numPr>
      </w:pPr>
      <w:r>
        <w:t>Structures and practical realities when deals go wrong</w:t>
      </w:r>
      <w:r w:rsidR="00286DAC">
        <w:t>; and</w:t>
      </w:r>
      <w:r>
        <w:t xml:space="preserve"> </w:t>
      </w:r>
    </w:p>
    <w:p w14:paraId="08327922" w14:textId="481C0263" w:rsidR="0044455E" w:rsidRDefault="0044455E" w:rsidP="00C55315">
      <w:pPr>
        <w:pStyle w:val="ListParagraph"/>
        <w:numPr>
          <w:ilvl w:val="0"/>
          <w:numId w:val="3"/>
        </w:numPr>
      </w:pPr>
      <w:r>
        <w:t>Property fundamenta</w:t>
      </w:r>
      <w:r w:rsidR="00286DAC">
        <w:t xml:space="preserve">ls versus </w:t>
      </w:r>
      <w:r w:rsidR="00130941">
        <w:t>capital flows</w:t>
      </w:r>
      <w:r w:rsidR="00286DAC">
        <w:t>.</w:t>
      </w:r>
    </w:p>
    <w:p w14:paraId="176B3886" w14:textId="77777777" w:rsidR="009A73AA" w:rsidRDefault="009A73AA" w:rsidP="009A73AA">
      <w:pPr>
        <w:pStyle w:val="ListParagraph"/>
        <w:numPr>
          <w:ilvl w:val="0"/>
          <w:numId w:val="0"/>
        </w:numPr>
        <w:ind w:left="720"/>
      </w:pPr>
    </w:p>
    <w:p w14:paraId="595D0CEB" w14:textId="76E1B126" w:rsidR="0040750B" w:rsidRDefault="008A78C6" w:rsidP="0040750B">
      <w:r>
        <w:t xml:space="preserve">At the end of the term, </w:t>
      </w:r>
      <w:r w:rsidR="0040750B">
        <w:t>students can expect to have developed a working familiarity with</w:t>
      </w:r>
      <w:r w:rsidR="00286DAC">
        <w:t xml:space="preserve"> </w:t>
      </w:r>
      <w:r w:rsidR="00836A43">
        <w:t>the following</w:t>
      </w:r>
      <w:r w:rsidR="0040750B">
        <w:t xml:space="preserve">: </w:t>
      </w:r>
    </w:p>
    <w:p w14:paraId="6231D219" w14:textId="3DE838AE" w:rsidR="0040750B" w:rsidRDefault="0040750B" w:rsidP="00C55315">
      <w:pPr>
        <w:pStyle w:val="ListParagraph"/>
        <w:numPr>
          <w:ilvl w:val="0"/>
          <w:numId w:val="4"/>
        </w:numPr>
      </w:pPr>
      <w:r>
        <w:t>The key drivers of real estate capital flows and capital pricing</w:t>
      </w:r>
      <w:r w:rsidR="00286DAC">
        <w:t>;</w:t>
      </w:r>
    </w:p>
    <w:p w14:paraId="1562B4CC" w14:textId="10D33FE2" w:rsidR="0040750B" w:rsidRDefault="0040750B" w:rsidP="00C55315">
      <w:pPr>
        <w:pStyle w:val="ListParagraph"/>
        <w:numPr>
          <w:ilvl w:val="0"/>
          <w:numId w:val="4"/>
        </w:numPr>
      </w:pPr>
      <w:r>
        <w:t xml:space="preserve">All of the major </w:t>
      </w:r>
      <w:r w:rsidR="00286DAC">
        <w:t xml:space="preserve">public and private </w:t>
      </w:r>
      <w:r>
        <w:t>sources of debt and equity capital for CRE</w:t>
      </w:r>
      <w:r w:rsidR="00286DAC">
        <w:t>;</w:t>
      </w:r>
    </w:p>
    <w:p w14:paraId="3144F474" w14:textId="6B00D8B6" w:rsidR="0040750B" w:rsidRDefault="0040750B" w:rsidP="00C55315">
      <w:pPr>
        <w:pStyle w:val="ListParagraph"/>
        <w:numPr>
          <w:ilvl w:val="0"/>
          <w:numId w:val="4"/>
        </w:numPr>
      </w:pPr>
      <w:r>
        <w:t xml:space="preserve">The key </w:t>
      </w:r>
      <w:r w:rsidR="00D93005">
        <w:t xml:space="preserve">structural </w:t>
      </w:r>
      <w:r>
        <w:t xml:space="preserve">elements and </w:t>
      </w:r>
      <w:r w:rsidR="00D93005">
        <w:t xml:space="preserve">credit </w:t>
      </w:r>
      <w:r>
        <w:t xml:space="preserve">considerations for each </w:t>
      </w:r>
      <w:r w:rsidR="00D93005">
        <w:t>form of financing</w:t>
      </w:r>
      <w:r w:rsidR="00286DAC">
        <w:t>;</w:t>
      </w:r>
    </w:p>
    <w:p w14:paraId="6EA7336D" w14:textId="1268D2A1" w:rsidR="0040750B" w:rsidRDefault="0040750B" w:rsidP="00C55315">
      <w:pPr>
        <w:pStyle w:val="ListParagraph"/>
        <w:numPr>
          <w:ilvl w:val="0"/>
          <w:numId w:val="4"/>
        </w:numPr>
      </w:pPr>
      <w:r>
        <w:t>How to structure the capitalization for a given project type</w:t>
      </w:r>
      <w:r w:rsidR="00286DAC">
        <w:t>; and</w:t>
      </w:r>
    </w:p>
    <w:p w14:paraId="14F273BA" w14:textId="2438B1A2" w:rsidR="0040750B" w:rsidRDefault="0040750B" w:rsidP="00C55315">
      <w:pPr>
        <w:pStyle w:val="ListParagraph"/>
        <w:numPr>
          <w:ilvl w:val="0"/>
          <w:numId w:val="4"/>
        </w:numPr>
      </w:pPr>
      <w:r>
        <w:t xml:space="preserve">How to analyze and </w:t>
      </w:r>
      <w:r w:rsidR="00D93005">
        <w:t>make a secondary investment in a given financial structure.</w:t>
      </w:r>
    </w:p>
    <w:p w14:paraId="0AE3C981" w14:textId="66A62EB7" w:rsidR="005C4E6A" w:rsidRPr="005C4E6A" w:rsidRDefault="005C4E6A" w:rsidP="00A84C9E">
      <w:pPr>
        <w:pStyle w:val="Heading1"/>
      </w:pPr>
      <w:r w:rsidRPr="005C4E6A">
        <w:t>Method of Instruction</w:t>
      </w:r>
    </w:p>
    <w:p w14:paraId="4C196578" w14:textId="3A94C921" w:rsidR="005C4E6A" w:rsidRDefault="005C4E6A" w:rsidP="00A84C9E">
      <w:r>
        <w:t>The instruction will utilize a combination of lecture, case study, group discussion and guest speakers</w:t>
      </w:r>
      <w:r w:rsidR="00286DAC">
        <w:t xml:space="preserve">; the </w:t>
      </w:r>
      <w:r>
        <w:t xml:space="preserve">focus </w:t>
      </w:r>
      <w:r w:rsidR="00286DAC">
        <w:t xml:space="preserve">will be </w:t>
      </w:r>
      <w:r>
        <w:t xml:space="preserve">on current market transactions.  As the CRE capital markets are ever changing, each class session will commence with a discussion of current market pricing trends and the factors driving them.  </w:t>
      </w:r>
      <w:r w:rsidR="00CD036F">
        <w:t xml:space="preserve">The class will be divided into groups in the first class and each </w:t>
      </w:r>
      <w:r w:rsidR="007678AA">
        <w:t xml:space="preserve">week at the beginning of class a </w:t>
      </w:r>
      <w:r w:rsidR="00CD036F">
        <w:t xml:space="preserve">group will </w:t>
      </w:r>
      <w:r w:rsidR="007678AA">
        <w:t xml:space="preserve">make a </w:t>
      </w:r>
      <w:proofErr w:type="gramStart"/>
      <w:r w:rsidR="00CD036F">
        <w:t>15 minute</w:t>
      </w:r>
      <w:proofErr w:type="gramEnd"/>
      <w:r w:rsidR="00CD036F">
        <w:t xml:space="preserve"> presentation on current events in the global capital markets, real estate capital markets and notable events in the real estate sector.  All students are expected to participate in these discussion</w:t>
      </w:r>
      <w:r w:rsidR="007678AA">
        <w:t>s</w:t>
      </w:r>
      <w:r w:rsidR="00CD036F">
        <w:t>.</w:t>
      </w:r>
    </w:p>
    <w:p w14:paraId="6F94D23A" w14:textId="6622EE62" w:rsidR="005C4E6A" w:rsidRDefault="005C4E6A" w:rsidP="00A84C9E">
      <w:pPr>
        <w:pStyle w:val="Heading1"/>
        <w:rPr>
          <w:lang w:eastAsia="ja-JP"/>
        </w:rPr>
      </w:pPr>
      <w:r>
        <w:rPr>
          <w:lang w:eastAsia="ja-JP"/>
        </w:rPr>
        <w:t>Readings</w:t>
      </w:r>
    </w:p>
    <w:p w14:paraId="45C6BAB4" w14:textId="765BCDE6" w:rsidR="007678AA" w:rsidRPr="001E32D3" w:rsidRDefault="007678AA" w:rsidP="007678AA">
      <w:pPr>
        <w:widowControl w:val="0"/>
        <w:tabs>
          <w:tab w:val="left" w:pos="-720"/>
        </w:tabs>
        <w:ind w:right="144"/>
      </w:pPr>
      <w:r>
        <w:t>There</w:t>
      </w:r>
      <w:r w:rsidRPr="001E32D3">
        <w:t xml:space="preserve"> is no required textbook for the class. </w:t>
      </w:r>
      <w:r>
        <w:t xml:space="preserve"> The </w:t>
      </w:r>
      <w:r w:rsidRPr="001E32D3">
        <w:t xml:space="preserve">readings for each class that will be posted </w:t>
      </w:r>
      <w:r>
        <w:rPr>
          <w:lang w:eastAsia="ja-JP"/>
        </w:rPr>
        <w:t xml:space="preserve">to Canvas. </w:t>
      </w:r>
      <w:r w:rsidR="0068425A" w:rsidRPr="001E32D3">
        <w:t>Some of these readings will be required, others will be optional or background reading for interested students</w:t>
      </w:r>
      <w:r w:rsidR="0068425A">
        <w:t xml:space="preserve">.  </w:t>
      </w:r>
      <w:r w:rsidR="0068425A">
        <w:rPr>
          <w:lang w:eastAsia="ja-JP"/>
        </w:rPr>
        <w:t xml:space="preserve"> </w:t>
      </w:r>
      <w:r>
        <w:rPr>
          <w:lang w:eastAsia="ja-JP"/>
        </w:rPr>
        <w:t>Students are expected to complete all reading prior to the class session and to be prepared to participate in the class discussion and to respond to cold calling.</w:t>
      </w:r>
      <w:r w:rsidR="0068425A">
        <w:t xml:space="preserve">  The slide deck prepared for each class session will be posted to Canvas the day after the session.</w:t>
      </w:r>
      <w:r w:rsidRPr="001E32D3">
        <w:t xml:space="preserve"> Other class materials such as assignments, </w:t>
      </w:r>
      <w:r>
        <w:t xml:space="preserve">and </w:t>
      </w:r>
      <w:r w:rsidRPr="001E32D3">
        <w:t xml:space="preserve">course announcements will also be posted on </w:t>
      </w:r>
      <w:r>
        <w:t>Canvas</w:t>
      </w:r>
      <w:r w:rsidRPr="001E32D3">
        <w:t>.</w:t>
      </w:r>
    </w:p>
    <w:p w14:paraId="26686943" w14:textId="3F0C0644" w:rsidR="007678AA" w:rsidRPr="001E32D3" w:rsidRDefault="0068425A" w:rsidP="007678AA">
      <w:pPr>
        <w:pStyle w:val="Heading1"/>
      </w:pPr>
      <w:r>
        <w:lastRenderedPageBreak/>
        <w:t>Electronics</w:t>
      </w:r>
    </w:p>
    <w:p w14:paraId="00F0C867" w14:textId="1F920713" w:rsidR="00491CB9" w:rsidRPr="00A84C9E" w:rsidRDefault="007678AA" w:rsidP="0068425A">
      <w:pPr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E32D3">
        <w:t xml:space="preserve">A financial calculator will be required </w:t>
      </w:r>
      <w:r w:rsidR="0068425A">
        <w:t xml:space="preserve">for the course and for exams. </w:t>
      </w:r>
      <w:r w:rsidRPr="001E32D3">
        <w:t xml:space="preserve">Any financial calculator </w:t>
      </w:r>
      <w:r w:rsidR="0068425A">
        <w:t xml:space="preserve">is acceptable (i.e. HP-12C, </w:t>
      </w:r>
      <w:r w:rsidR="0068425A" w:rsidRPr="001E32D3">
        <w:t>TI-BA II</w:t>
      </w:r>
      <w:r w:rsidR="0068425A">
        <w:t>) but it should have the ability to perform discounted cash flow and mortgage calculations and you are expected to</w:t>
      </w:r>
      <w:r w:rsidRPr="001E32D3">
        <w:t xml:space="preserve"> understand how to use it. </w:t>
      </w:r>
      <w:r w:rsidR="0068425A">
        <w:t xml:space="preserve"> You will not be permitted to use a phone calculator during exams.  The use of laptops or tablets during class or exams is strictly prohibited.</w:t>
      </w:r>
    </w:p>
    <w:p w14:paraId="78F958A6" w14:textId="2761667E" w:rsidR="004C5EC9" w:rsidRDefault="004C5EC9" w:rsidP="00A84C9E">
      <w:pPr>
        <w:pStyle w:val="Heading1"/>
        <w:rPr>
          <w:lang w:eastAsia="ja-JP"/>
        </w:rPr>
      </w:pPr>
      <w:r>
        <w:rPr>
          <w:lang w:eastAsia="ja-JP"/>
        </w:rPr>
        <w:t>Grading</w:t>
      </w:r>
    </w:p>
    <w:p w14:paraId="0B7EE8F9" w14:textId="5CF0438F" w:rsidR="004C5EC9" w:rsidRDefault="004C5EC9" w:rsidP="00A84C9E">
      <w:r>
        <w:rPr>
          <w:lang w:eastAsia="ja-JP"/>
        </w:rPr>
        <w:t>Grading will be bas</w:t>
      </w:r>
      <w:r w:rsidR="00292417">
        <w:rPr>
          <w:lang w:eastAsia="ja-JP"/>
        </w:rPr>
        <w:t>ed</w:t>
      </w:r>
      <w:r w:rsidR="00DF27F0">
        <w:rPr>
          <w:lang w:eastAsia="ja-JP"/>
        </w:rPr>
        <w:t xml:space="preserve"> on the following:</w:t>
      </w:r>
      <w:r w:rsidR="00292417">
        <w:rPr>
          <w:lang w:eastAsia="ja-JP"/>
        </w:rPr>
        <w:t xml:space="preserve"> </w:t>
      </w:r>
      <w:r w:rsidR="00EF02FD">
        <w:rPr>
          <w:lang w:eastAsia="ja-JP"/>
        </w:rPr>
        <w:t>20</w:t>
      </w:r>
      <w:r w:rsidR="00292417">
        <w:rPr>
          <w:lang w:eastAsia="ja-JP"/>
        </w:rPr>
        <w:t xml:space="preserve">% </w:t>
      </w:r>
      <w:r w:rsidR="00D3328A">
        <w:rPr>
          <w:lang w:eastAsia="ja-JP"/>
        </w:rPr>
        <w:t>written assignments</w:t>
      </w:r>
      <w:r w:rsidR="00292417">
        <w:rPr>
          <w:lang w:eastAsia="ja-JP"/>
        </w:rPr>
        <w:t xml:space="preserve">, </w:t>
      </w:r>
      <w:r w:rsidR="00EF02FD">
        <w:rPr>
          <w:lang w:eastAsia="ja-JP"/>
        </w:rPr>
        <w:t>2</w:t>
      </w:r>
      <w:r w:rsidR="00127B76">
        <w:rPr>
          <w:lang w:eastAsia="ja-JP"/>
        </w:rPr>
        <w:t>5</w:t>
      </w:r>
      <w:r w:rsidR="00292417">
        <w:rPr>
          <w:lang w:eastAsia="ja-JP"/>
        </w:rPr>
        <w:t>%</w:t>
      </w:r>
      <w:r>
        <w:rPr>
          <w:lang w:eastAsia="ja-JP"/>
        </w:rPr>
        <w:t xml:space="preserve"> class participation</w:t>
      </w:r>
      <w:r w:rsidR="00292417">
        <w:rPr>
          <w:lang w:eastAsia="ja-JP"/>
        </w:rPr>
        <w:t>, 25% mid-term</w:t>
      </w:r>
      <w:r w:rsidR="00DF27F0">
        <w:rPr>
          <w:lang w:eastAsia="ja-JP"/>
        </w:rPr>
        <w:t xml:space="preserve"> exam</w:t>
      </w:r>
      <w:r>
        <w:rPr>
          <w:lang w:eastAsia="ja-JP"/>
        </w:rPr>
        <w:t xml:space="preserve"> and </w:t>
      </w:r>
      <w:r w:rsidR="00292417">
        <w:rPr>
          <w:lang w:eastAsia="ja-JP"/>
        </w:rPr>
        <w:t>3</w:t>
      </w:r>
      <w:r w:rsidR="00127B76">
        <w:rPr>
          <w:lang w:eastAsia="ja-JP"/>
        </w:rPr>
        <w:t>0</w:t>
      </w:r>
      <w:r w:rsidR="00292417">
        <w:rPr>
          <w:lang w:eastAsia="ja-JP"/>
        </w:rPr>
        <w:t xml:space="preserve">% </w:t>
      </w:r>
      <w:r>
        <w:rPr>
          <w:lang w:eastAsia="ja-JP"/>
        </w:rPr>
        <w:t xml:space="preserve">on </w:t>
      </w:r>
      <w:r w:rsidR="00DF27F0">
        <w:rPr>
          <w:lang w:eastAsia="ja-JP"/>
        </w:rPr>
        <w:t>final exam</w:t>
      </w:r>
      <w:r w:rsidRPr="004C5EC9">
        <w:t xml:space="preserve">.  Written assignments will include homework and cases. Some assignments will be done individually while others </w:t>
      </w:r>
      <w:r>
        <w:t>will</w:t>
      </w:r>
      <w:r w:rsidRPr="004C5EC9">
        <w:t xml:space="preserve"> be done in groups. </w:t>
      </w:r>
      <w:r>
        <w:t xml:space="preserve">Class participation </w:t>
      </w:r>
      <w:r>
        <w:rPr>
          <w:lang w:eastAsia="ja-JP"/>
        </w:rPr>
        <w:t xml:space="preserve">grading will be based on the frequency and relevance of contributions to class discussions, including Markets Review, case discussion and Investment Committee. </w:t>
      </w:r>
    </w:p>
    <w:p w14:paraId="74194716" w14:textId="5F336608" w:rsidR="00D20D61" w:rsidRDefault="00D20D61" w:rsidP="00A84C9E">
      <w:pPr>
        <w:pStyle w:val="Heading1"/>
        <w:rPr>
          <w:lang w:eastAsia="ja-JP"/>
        </w:rPr>
      </w:pPr>
      <w:r>
        <w:rPr>
          <w:lang w:eastAsia="ja-JP"/>
        </w:rPr>
        <w:t>Connect</w:t>
      </w:r>
      <w:r w:rsidR="00CC225D">
        <w:rPr>
          <w:lang w:eastAsia="ja-JP"/>
        </w:rPr>
        <w:t>ion with the core and other pre</w:t>
      </w:r>
      <w:r>
        <w:rPr>
          <w:lang w:eastAsia="ja-JP"/>
        </w:rPr>
        <w:t xml:space="preserve">requisites </w:t>
      </w:r>
    </w:p>
    <w:p w14:paraId="0FD39E35" w14:textId="688383FE" w:rsidR="00D43610" w:rsidRDefault="00D20D61" w:rsidP="00A84C9E">
      <w:pPr>
        <w:rPr>
          <w:lang w:eastAsia="ja-JP"/>
        </w:rPr>
      </w:pPr>
      <w:r>
        <w:rPr>
          <w:lang w:eastAsia="ja-JP"/>
        </w:rPr>
        <w:t xml:space="preserve">Real Estate </w:t>
      </w:r>
      <w:r w:rsidR="00D43610">
        <w:rPr>
          <w:lang w:eastAsia="ja-JP"/>
        </w:rPr>
        <w:t>Capital Markets</w:t>
      </w:r>
      <w:r>
        <w:rPr>
          <w:lang w:eastAsia="ja-JP"/>
        </w:rPr>
        <w:t xml:space="preserve"> builds on </w:t>
      </w:r>
      <w:r w:rsidR="00D43610">
        <w:rPr>
          <w:lang w:eastAsia="ja-JP"/>
        </w:rPr>
        <w:t>a variety of topics</w:t>
      </w:r>
      <w:r>
        <w:rPr>
          <w:lang w:eastAsia="ja-JP"/>
        </w:rPr>
        <w:t xml:space="preserve"> </w:t>
      </w:r>
      <w:r w:rsidR="00D43610">
        <w:rPr>
          <w:lang w:eastAsia="ja-JP"/>
        </w:rPr>
        <w:t>taught in the core courses particularly Corporate Finance, Global Economics, Managerial Economic</w:t>
      </w:r>
      <w:r w:rsidR="001B228F">
        <w:rPr>
          <w:lang w:eastAsia="ja-JP"/>
        </w:rPr>
        <w:t xml:space="preserve">s and Strategy. 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6390"/>
      </w:tblGrid>
      <w:tr w:rsidR="002F77BF" w14:paraId="717A4153" w14:textId="77777777" w:rsidTr="008B4231"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C8BD" w14:textId="77777777" w:rsidR="002F77BF" w:rsidRDefault="002F77BF">
            <w:pPr>
              <w:rPr>
                <w:rFonts w:ascii="Calibri" w:hAnsi="Calibri"/>
                <w:b/>
                <w:bCs/>
                <w:color w:val="1F4E79"/>
                <w:sz w:val="22"/>
                <w:szCs w:val="22"/>
              </w:rPr>
            </w:pPr>
            <w:r>
              <w:rPr>
                <w:b/>
                <w:bCs/>
                <w:color w:val="1F4E79"/>
              </w:rPr>
              <w:t>Core Course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D626" w14:textId="77777777" w:rsidR="002F77BF" w:rsidRDefault="002F77BF">
            <w:pPr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Connection with Core</w:t>
            </w:r>
          </w:p>
        </w:tc>
      </w:tr>
      <w:tr w:rsidR="002F77BF" w14:paraId="3A09063D" w14:textId="77777777" w:rsidTr="008B4231"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FEF7" w14:textId="77777777" w:rsidR="002F77BF" w:rsidRDefault="002F77BF">
            <w:pPr>
              <w:rPr>
                <w:color w:val="1F4E79"/>
              </w:rPr>
            </w:pPr>
            <w:r>
              <w:rPr>
                <w:color w:val="1F4E79"/>
              </w:rPr>
              <w:t>Corporate Finance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46A4" w14:textId="77777777" w:rsidR="002F77BF" w:rsidRDefault="002F77BF" w:rsidP="002F77BF">
            <w:pPr>
              <w:pStyle w:val="ListParagraph"/>
              <w:numPr>
                <w:ilvl w:val="0"/>
                <w:numId w:val="17"/>
              </w:numPr>
              <w:jc w:val="left"/>
              <w:rPr>
                <w:color w:val="1F4E79"/>
              </w:rPr>
            </w:pPr>
            <w:r>
              <w:rPr>
                <w:color w:val="1F4E79"/>
              </w:rPr>
              <w:t>Time value of money</w:t>
            </w:r>
          </w:p>
          <w:p w14:paraId="1804AD44" w14:textId="77777777" w:rsidR="002F77BF" w:rsidRDefault="002F77BF" w:rsidP="002F77BF">
            <w:pPr>
              <w:pStyle w:val="ListParagraph"/>
              <w:numPr>
                <w:ilvl w:val="0"/>
                <w:numId w:val="17"/>
              </w:numPr>
              <w:jc w:val="left"/>
              <w:rPr>
                <w:color w:val="1F4E79"/>
              </w:rPr>
            </w:pPr>
            <w:r>
              <w:rPr>
                <w:color w:val="1F4E79"/>
              </w:rPr>
              <w:t>Opportunity cost of capital</w:t>
            </w:r>
          </w:p>
          <w:p w14:paraId="0677B936" w14:textId="77777777" w:rsidR="002F77BF" w:rsidRDefault="002F77BF" w:rsidP="002F77BF">
            <w:pPr>
              <w:pStyle w:val="ListParagraph"/>
              <w:numPr>
                <w:ilvl w:val="0"/>
                <w:numId w:val="17"/>
              </w:numPr>
              <w:jc w:val="left"/>
              <w:rPr>
                <w:color w:val="1F4E79"/>
              </w:rPr>
            </w:pPr>
            <w:r>
              <w:rPr>
                <w:color w:val="1F4E79"/>
              </w:rPr>
              <w:t xml:space="preserve">Risk </w:t>
            </w:r>
          </w:p>
        </w:tc>
      </w:tr>
      <w:tr w:rsidR="002F77BF" w14:paraId="0F3C068D" w14:textId="77777777" w:rsidTr="008B4231"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1FCA" w14:textId="77777777" w:rsidR="002F77BF" w:rsidRDefault="002F77BF">
            <w:pPr>
              <w:rPr>
                <w:color w:val="1F4E79"/>
              </w:rPr>
            </w:pPr>
            <w:r>
              <w:rPr>
                <w:color w:val="1F4E79"/>
              </w:rPr>
              <w:t>Strategy Formulation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42C0" w14:textId="77777777" w:rsidR="002F77BF" w:rsidRDefault="002F77BF" w:rsidP="002F77BF">
            <w:pPr>
              <w:pStyle w:val="ListParagraph"/>
              <w:numPr>
                <w:ilvl w:val="0"/>
                <w:numId w:val="18"/>
              </w:numPr>
              <w:jc w:val="left"/>
              <w:rPr>
                <w:color w:val="1F4E79"/>
              </w:rPr>
            </w:pPr>
            <w:r>
              <w:rPr>
                <w:color w:val="1F4E79"/>
              </w:rPr>
              <w:t>Creation of value vs. value capture</w:t>
            </w:r>
          </w:p>
          <w:p w14:paraId="42A6ACB2" w14:textId="77777777" w:rsidR="002F77BF" w:rsidRDefault="002F77BF" w:rsidP="002F77BF">
            <w:pPr>
              <w:pStyle w:val="ListParagraph"/>
              <w:numPr>
                <w:ilvl w:val="0"/>
                <w:numId w:val="18"/>
              </w:numPr>
              <w:jc w:val="left"/>
              <w:rPr>
                <w:color w:val="1F4E79"/>
              </w:rPr>
            </w:pPr>
            <w:r>
              <w:rPr>
                <w:color w:val="1F4E79"/>
              </w:rPr>
              <w:t>Trade-offs</w:t>
            </w:r>
          </w:p>
        </w:tc>
      </w:tr>
      <w:tr w:rsidR="002F77BF" w14:paraId="7A1D9F2E" w14:textId="77777777" w:rsidTr="008B4231"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198E" w14:textId="77777777" w:rsidR="002F77BF" w:rsidRDefault="002F77BF">
            <w:pPr>
              <w:rPr>
                <w:color w:val="1F4E79"/>
              </w:rPr>
            </w:pPr>
            <w:proofErr w:type="gramStart"/>
            <w:r>
              <w:rPr>
                <w:color w:val="1F4E79"/>
              </w:rPr>
              <w:t>Leadership  Development</w:t>
            </w:r>
            <w:proofErr w:type="gramEnd"/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1741" w14:textId="77777777" w:rsidR="002F77BF" w:rsidRDefault="002F77BF" w:rsidP="002F77B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ind w:left="342"/>
              <w:jc w:val="left"/>
              <w:rPr>
                <w:color w:val="1F4E79"/>
              </w:rPr>
            </w:pPr>
            <w:r>
              <w:rPr>
                <w:color w:val="1F4E79"/>
              </w:rPr>
              <w:t>Ethics</w:t>
            </w:r>
          </w:p>
          <w:p w14:paraId="52B9FB11" w14:textId="77777777" w:rsidR="002F77BF" w:rsidRDefault="002F77BF" w:rsidP="002F77B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ind w:left="342"/>
              <w:jc w:val="left"/>
              <w:rPr>
                <w:color w:val="1F4E79"/>
              </w:rPr>
            </w:pPr>
            <w:r>
              <w:rPr>
                <w:color w:val="1F4E79"/>
              </w:rPr>
              <w:t>Decision making</w:t>
            </w:r>
          </w:p>
          <w:p w14:paraId="43E1AEF1" w14:textId="77777777" w:rsidR="002F77BF" w:rsidRDefault="002F77BF" w:rsidP="002F77B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ind w:left="342"/>
              <w:jc w:val="left"/>
              <w:rPr>
                <w:color w:val="1F4E79"/>
              </w:rPr>
            </w:pPr>
            <w:r>
              <w:rPr>
                <w:color w:val="1F4E79"/>
              </w:rPr>
              <w:t>Influence &amp; Persuasion</w:t>
            </w:r>
          </w:p>
          <w:p w14:paraId="44011F61" w14:textId="77777777" w:rsidR="002F77BF" w:rsidRDefault="002F77BF" w:rsidP="002F77B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ind w:left="342"/>
              <w:jc w:val="left"/>
              <w:rPr>
                <w:color w:val="1F4E79"/>
              </w:rPr>
            </w:pPr>
            <w:r>
              <w:rPr>
                <w:color w:val="1F4E79"/>
              </w:rPr>
              <w:t>Negotiations</w:t>
            </w:r>
          </w:p>
        </w:tc>
      </w:tr>
      <w:tr w:rsidR="002F77BF" w14:paraId="2835FA89" w14:textId="77777777" w:rsidTr="008B4231"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AAD6" w14:textId="77777777" w:rsidR="002F77BF" w:rsidRDefault="002F77BF" w:rsidP="008B4231">
            <w:pPr>
              <w:jc w:val="left"/>
              <w:rPr>
                <w:color w:val="1F4E79"/>
              </w:rPr>
            </w:pPr>
            <w:r>
              <w:rPr>
                <w:color w:val="1F4E79"/>
              </w:rPr>
              <w:t>Global Economic Environment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A8C9" w14:textId="77777777" w:rsidR="002F77BF" w:rsidRDefault="002F77BF" w:rsidP="002F77BF">
            <w:pPr>
              <w:pStyle w:val="ListParagraph"/>
              <w:numPr>
                <w:ilvl w:val="0"/>
                <w:numId w:val="20"/>
              </w:numPr>
              <w:jc w:val="left"/>
              <w:rPr>
                <w:color w:val="1F4E79"/>
              </w:rPr>
            </w:pPr>
            <w:r>
              <w:rPr>
                <w:color w:val="1F4E79"/>
              </w:rPr>
              <w:t>Inflation and the business cycle</w:t>
            </w:r>
          </w:p>
          <w:p w14:paraId="05960715" w14:textId="77777777" w:rsidR="002F77BF" w:rsidRDefault="002F77BF" w:rsidP="002F77BF">
            <w:pPr>
              <w:pStyle w:val="ListParagraph"/>
              <w:numPr>
                <w:ilvl w:val="0"/>
                <w:numId w:val="20"/>
              </w:numPr>
              <w:jc w:val="left"/>
              <w:rPr>
                <w:color w:val="1F4E79"/>
              </w:rPr>
            </w:pPr>
            <w:r>
              <w:rPr>
                <w:color w:val="1F4E79"/>
              </w:rPr>
              <w:t>Fiscal policy</w:t>
            </w:r>
          </w:p>
          <w:p w14:paraId="679A5EDC" w14:textId="77777777" w:rsidR="002F77BF" w:rsidRDefault="002F77BF" w:rsidP="002F77BF">
            <w:pPr>
              <w:pStyle w:val="ListParagraph"/>
              <w:numPr>
                <w:ilvl w:val="0"/>
                <w:numId w:val="20"/>
              </w:numPr>
              <w:jc w:val="left"/>
              <w:rPr>
                <w:color w:val="1F4E79"/>
              </w:rPr>
            </w:pPr>
            <w:r>
              <w:rPr>
                <w:color w:val="1F4E79"/>
              </w:rPr>
              <w:t>Role of financial markets in the economy</w:t>
            </w:r>
          </w:p>
        </w:tc>
      </w:tr>
    </w:tbl>
    <w:p w14:paraId="72A92026" w14:textId="77777777" w:rsidR="008B4231" w:rsidRDefault="008B4231" w:rsidP="008B4231">
      <w:pPr>
        <w:rPr>
          <w:lang w:eastAsia="ja-JP"/>
        </w:rPr>
      </w:pPr>
    </w:p>
    <w:p w14:paraId="13A158F6" w14:textId="74DDBEFC" w:rsidR="002F77BF" w:rsidRDefault="00CC225D" w:rsidP="008B4231">
      <w:pPr>
        <w:rPr>
          <w:lang w:eastAsia="ja-JP"/>
        </w:rPr>
      </w:pPr>
      <w:r w:rsidRPr="00CC225D">
        <w:rPr>
          <w:bCs/>
        </w:rPr>
        <w:t>Corporate Finance (B6300) and Real Estate Finance (B8331) are prerequisites</w:t>
      </w:r>
      <w:r>
        <w:rPr>
          <w:lang w:eastAsia="ja-JP"/>
        </w:rPr>
        <w:t xml:space="preserve"> for B8333 </w:t>
      </w:r>
      <w:r w:rsidR="008B4231">
        <w:rPr>
          <w:lang w:eastAsia="ja-JP"/>
        </w:rPr>
        <w:t xml:space="preserve">as it is important that students have a working understanding of </w:t>
      </w:r>
      <w:r>
        <w:rPr>
          <w:lang w:eastAsia="ja-JP"/>
        </w:rPr>
        <w:t>finance and real estate investment concepts.</w:t>
      </w:r>
    </w:p>
    <w:p w14:paraId="249CE7E7" w14:textId="75504066" w:rsidR="00CC225D" w:rsidRDefault="00CC225D" w:rsidP="008B4231">
      <w:pPr>
        <w:rPr>
          <w:lang w:eastAsia="ja-JP"/>
        </w:rPr>
      </w:pPr>
    </w:p>
    <w:p w14:paraId="22C3819E" w14:textId="183F37EA" w:rsidR="00CC225D" w:rsidRDefault="00CC225D" w:rsidP="008B4231">
      <w:pPr>
        <w:rPr>
          <w:lang w:eastAsia="ja-JP"/>
        </w:rPr>
      </w:pPr>
      <w:r>
        <w:rPr>
          <w:b/>
          <w:bCs/>
        </w:rPr>
        <w:t>.  </w:t>
      </w:r>
    </w:p>
    <w:p w14:paraId="145DE7BE" w14:textId="77777777" w:rsidR="0068425A" w:rsidRDefault="0068425A">
      <w:pPr>
        <w:spacing w:after="0"/>
        <w:jc w:val="left"/>
        <w:rPr>
          <w:rFonts w:eastAsiaTheme="majorEastAsia" w:cstheme="majorBidi"/>
          <w:b/>
          <w:bCs/>
          <w:sz w:val="28"/>
          <w:szCs w:val="28"/>
          <w:lang w:eastAsia="ja-JP"/>
        </w:rPr>
      </w:pPr>
      <w:r>
        <w:rPr>
          <w:lang w:eastAsia="ja-JP"/>
        </w:rPr>
        <w:br w:type="page"/>
      </w:r>
    </w:p>
    <w:p w14:paraId="1011F3FA" w14:textId="40263221" w:rsidR="00D43610" w:rsidRDefault="00A84C9E" w:rsidP="00A84C9E">
      <w:pPr>
        <w:pStyle w:val="Heading1"/>
        <w:rPr>
          <w:lang w:eastAsia="ja-JP"/>
        </w:rPr>
      </w:pPr>
      <w:r>
        <w:rPr>
          <w:lang w:eastAsia="ja-JP"/>
        </w:rPr>
        <w:lastRenderedPageBreak/>
        <w:t>Classroom Protocol</w:t>
      </w:r>
    </w:p>
    <w:p w14:paraId="364F8D94" w14:textId="56C43369" w:rsidR="00A84C9E" w:rsidRDefault="00D96578" w:rsidP="00D96578">
      <w:pPr>
        <w:rPr>
          <w:lang w:eastAsia="ja-JP"/>
        </w:rPr>
      </w:pPr>
      <w:r>
        <w:rPr>
          <w:lang w:eastAsia="ja-JP"/>
        </w:rPr>
        <w:t xml:space="preserve">All students are </w:t>
      </w:r>
      <w:proofErr w:type="gramStart"/>
      <w:r>
        <w:rPr>
          <w:lang w:eastAsia="ja-JP"/>
        </w:rPr>
        <w:t>expect</w:t>
      </w:r>
      <w:proofErr w:type="gramEnd"/>
      <w:r>
        <w:rPr>
          <w:lang w:eastAsia="ja-JP"/>
        </w:rPr>
        <w:t xml:space="preserve"> to demonstrate the CBS Core Culture classroom protocol:</w:t>
      </w:r>
      <w:r w:rsidR="00A84C9E" w:rsidRPr="00D96578">
        <w:rPr>
          <w:rFonts w:ascii="Arial" w:hAnsi="Arial" w:cs="Arial"/>
          <w:lang w:eastAsia="ja-JP"/>
        </w:rPr>
        <w:t xml:space="preserve"> </w:t>
      </w:r>
    </w:p>
    <w:p w14:paraId="3FF522E7" w14:textId="3A48D701" w:rsidR="00D96578" w:rsidRPr="00D96578" w:rsidRDefault="00D96578" w:rsidP="0080239E">
      <w:pPr>
        <w:pStyle w:val="Heading2"/>
        <w:ind w:left="360"/>
      </w:pPr>
      <w:r w:rsidRPr="00D96578">
        <w:t>Present</w:t>
      </w:r>
    </w:p>
    <w:p w14:paraId="24F725B5" w14:textId="77777777" w:rsidR="00A84C9E" w:rsidRPr="00D96578" w:rsidRDefault="00A84C9E" w:rsidP="00D96578">
      <w:pPr>
        <w:pStyle w:val="ListParagraph"/>
      </w:pPr>
      <w:r w:rsidRPr="00D96578">
        <w:t>On time and present for every session  </w:t>
      </w:r>
    </w:p>
    <w:p w14:paraId="6CA2E90E" w14:textId="6203DF83" w:rsidR="00D96578" w:rsidRPr="00D96578" w:rsidRDefault="00A84C9E" w:rsidP="00D96578">
      <w:pPr>
        <w:pStyle w:val="ListParagraph"/>
      </w:pPr>
      <w:r w:rsidRPr="00D96578">
        <w:t xml:space="preserve">Attendance </w:t>
      </w:r>
      <w:r w:rsidR="00DF27F0">
        <w:t xml:space="preserve">will be </w:t>
      </w:r>
      <w:r w:rsidR="00D96578" w:rsidRPr="00D96578">
        <w:t xml:space="preserve">tracked </w:t>
      </w:r>
      <w:r w:rsidRPr="00D96578">
        <w:t> </w:t>
      </w:r>
    </w:p>
    <w:p w14:paraId="386E5A69" w14:textId="391789B0" w:rsidR="00A84C9E" w:rsidRPr="00A84C9E" w:rsidRDefault="00D96578" w:rsidP="0080239E">
      <w:pPr>
        <w:pStyle w:val="Heading2"/>
        <w:ind w:left="360"/>
        <w:rPr>
          <w:rFonts w:ascii="Arial" w:hAnsi="Arial" w:cs="Arial"/>
        </w:rPr>
      </w:pPr>
      <w:r>
        <w:t>Prepared</w:t>
      </w:r>
    </w:p>
    <w:p w14:paraId="7C8F36D2" w14:textId="4B67BE7B" w:rsidR="00A84C9E" w:rsidRPr="00A84C9E" w:rsidRDefault="00A84C9E" w:rsidP="00D96578">
      <w:pPr>
        <w:pStyle w:val="ListParagraph"/>
      </w:pPr>
      <w:r w:rsidRPr="00A84C9E">
        <w:t xml:space="preserve">Complete </w:t>
      </w:r>
      <w:r w:rsidR="00D96578">
        <w:t xml:space="preserve">assigned </w:t>
      </w:r>
      <w:r w:rsidRPr="00A84C9E">
        <w:t>pre-work, expect cold calling  </w:t>
      </w:r>
    </w:p>
    <w:p w14:paraId="2C9E9352" w14:textId="7262239F" w:rsidR="00D96578" w:rsidRPr="00D96578" w:rsidRDefault="00A84C9E" w:rsidP="00D96578">
      <w:pPr>
        <w:pStyle w:val="ListParagraph"/>
      </w:pPr>
      <w:r w:rsidRPr="00A84C9E">
        <w:t xml:space="preserve">Bring nameplates </w:t>
      </w:r>
    </w:p>
    <w:p w14:paraId="1D371DD6" w14:textId="5913DA4C" w:rsidR="00A84C9E" w:rsidRPr="00A84C9E" w:rsidRDefault="00A84C9E" w:rsidP="0080239E">
      <w:pPr>
        <w:pStyle w:val="Heading2"/>
        <w:ind w:left="360"/>
        <w:rPr>
          <w:rFonts w:ascii="Arial" w:hAnsi="Arial" w:cs="Arial"/>
        </w:rPr>
      </w:pPr>
      <w:r>
        <w:t>Participating</w:t>
      </w:r>
    </w:p>
    <w:p w14:paraId="668064D8" w14:textId="77777777" w:rsidR="00A84C9E" w:rsidRPr="00A84C9E" w:rsidRDefault="00A84C9E" w:rsidP="00D96578">
      <w:pPr>
        <w:pStyle w:val="ListParagraph"/>
      </w:pPr>
      <w:r w:rsidRPr="00A84C9E">
        <w:t>Constructive participation expected and part of grade  </w:t>
      </w:r>
    </w:p>
    <w:p w14:paraId="66A9A4F5" w14:textId="49A29608" w:rsidR="00A84C9E" w:rsidRPr="00A84C9E" w:rsidRDefault="00A84C9E" w:rsidP="00D96578">
      <w:pPr>
        <w:pStyle w:val="ListParagraph"/>
      </w:pPr>
      <w:r w:rsidRPr="00A84C9E">
        <w:t xml:space="preserve">No electronic devices unless </w:t>
      </w:r>
      <w:r w:rsidR="008A78C6">
        <w:t xml:space="preserve">for educational purposes, </w:t>
      </w:r>
      <w:proofErr w:type="gramStart"/>
      <w:r w:rsidR="008A78C6">
        <w:t>When</w:t>
      </w:r>
      <w:proofErr w:type="gramEnd"/>
      <w:r w:rsidR="008A78C6">
        <w:t xml:space="preserve"> </w:t>
      </w:r>
      <w:r w:rsidRPr="00A84C9E">
        <w:t>allowed, should be directive, active, and specific with use</w:t>
      </w:r>
      <w:r w:rsidR="00DF27F0">
        <w:t>.</w:t>
      </w:r>
      <w:r w:rsidRPr="00A84C9E">
        <w:t xml:space="preserve">  </w:t>
      </w:r>
    </w:p>
    <w:p w14:paraId="1C42C9C7" w14:textId="72407FD8" w:rsidR="00D96578" w:rsidRDefault="00D96578" w:rsidP="00D96578">
      <w:r>
        <w:t xml:space="preserve">Additionally, students are expected to demonstrate </w:t>
      </w:r>
      <w:r w:rsidR="00854FB9">
        <w:t>the following classroom courtesies</w:t>
      </w:r>
      <w:r>
        <w:t>:</w:t>
      </w:r>
    </w:p>
    <w:p w14:paraId="3EA23F85" w14:textId="086921B3" w:rsidR="00A84C9E" w:rsidRDefault="00A84C9E" w:rsidP="00C55315">
      <w:pPr>
        <w:pStyle w:val="ListParagraph"/>
        <w:numPr>
          <w:ilvl w:val="0"/>
          <w:numId w:val="1"/>
        </w:numPr>
      </w:pPr>
      <w:r>
        <w:t>Please be prepared each week to discus</w:t>
      </w:r>
      <w:r w:rsidR="00D96578">
        <w:t xml:space="preserve">s, in class, the case, current </w:t>
      </w:r>
      <w:r>
        <w:t>events in real estate or the capital markets.</w:t>
      </w:r>
    </w:p>
    <w:p w14:paraId="7949B968" w14:textId="24B6E9DA" w:rsidR="00A84C9E" w:rsidRDefault="00F90F1D" w:rsidP="00C55315">
      <w:pPr>
        <w:pStyle w:val="ListParagraph"/>
        <w:numPr>
          <w:ilvl w:val="0"/>
          <w:numId w:val="1"/>
        </w:numPr>
      </w:pPr>
      <w:r>
        <w:t xml:space="preserve">Please do not be late or leave early for a guest </w:t>
      </w:r>
      <w:r w:rsidR="00A84C9E">
        <w:t>presentation.  </w:t>
      </w:r>
      <w:r w:rsidR="00A84C9E" w:rsidRPr="00A84C9E">
        <w:t xml:space="preserve"> </w:t>
      </w:r>
      <w:r w:rsidR="00A84C9E">
        <w:t>Please be prepared to engage each week’s speaker with questions.</w:t>
      </w:r>
      <w:r w:rsidRPr="00F90F1D">
        <w:t xml:space="preserve"> </w:t>
      </w:r>
      <w:r>
        <w:t>Please refrain from bringing food to guest presentations</w:t>
      </w:r>
    </w:p>
    <w:p w14:paraId="716BA430" w14:textId="6AB1EFB0" w:rsidR="00A84C9E" w:rsidRDefault="00A84C9E" w:rsidP="00C55315">
      <w:pPr>
        <w:pStyle w:val="ListParagraph"/>
        <w:numPr>
          <w:ilvl w:val="0"/>
          <w:numId w:val="1"/>
        </w:numPr>
      </w:pPr>
      <w:r>
        <w:t>Unless previously arranged with the professor or TA, attendance at guest presentations is limite</w:t>
      </w:r>
      <w:r w:rsidR="008A78C6">
        <w:t xml:space="preserve">d to students enrolled in this </w:t>
      </w:r>
      <w:r>
        <w:t xml:space="preserve">course. </w:t>
      </w:r>
    </w:p>
    <w:p w14:paraId="1875D9EC" w14:textId="77777777" w:rsidR="00DF27F0" w:rsidRDefault="00DF27F0">
      <w:pPr>
        <w:spacing w:after="0"/>
        <w:jc w:val="left"/>
      </w:pPr>
    </w:p>
    <w:p w14:paraId="7C35FA23" w14:textId="77777777" w:rsidR="00DF27F0" w:rsidRDefault="00DF27F0" w:rsidP="00DF27F0">
      <w:pPr>
        <w:pStyle w:val="Heading1"/>
      </w:pPr>
      <w:r>
        <w:t>Teaching Assistant</w:t>
      </w:r>
    </w:p>
    <w:p w14:paraId="79ABCB8D" w14:textId="4B000C1B" w:rsidR="00DF27F0" w:rsidRDefault="007678AA" w:rsidP="00DF27F0">
      <w:pPr>
        <w:pStyle w:val="Heading1"/>
        <w:spacing w:before="0" w:after="0"/>
        <w:rPr>
          <w:b w:val="0"/>
        </w:rPr>
      </w:pPr>
      <w:r>
        <w:rPr>
          <w:b w:val="0"/>
        </w:rPr>
        <w:t>TBD</w:t>
      </w:r>
    </w:p>
    <w:p w14:paraId="59CE5FE6" w14:textId="77777777" w:rsidR="00DF27F0" w:rsidRDefault="00DF27F0" w:rsidP="00DF27F0">
      <w:pPr>
        <w:pStyle w:val="Heading1"/>
      </w:pPr>
      <w:r>
        <w:t>Professor Office Hours</w:t>
      </w:r>
    </w:p>
    <w:p w14:paraId="7D628AE4" w14:textId="4269D8AF" w:rsidR="00DF27F0" w:rsidRPr="00DF27F0" w:rsidRDefault="00412ADA" w:rsidP="00DF27F0">
      <w:r>
        <w:t>By appointment – please email the professor to arrange.</w:t>
      </w:r>
      <w:r w:rsidR="0080239E" w:rsidRPr="00DF27F0">
        <w:br w:type="page"/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1188"/>
        <w:gridCol w:w="5670"/>
        <w:gridCol w:w="3192"/>
      </w:tblGrid>
      <w:tr w:rsidR="001B228F" w:rsidRPr="00B44AE4" w14:paraId="2912E144" w14:textId="77777777" w:rsidTr="001B228F">
        <w:tc>
          <w:tcPr>
            <w:tcW w:w="1188" w:type="dxa"/>
          </w:tcPr>
          <w:p w14:paraId="49833EA6" w14:textId="5458A7C6" w:rsidR="001B228F" w:rsidRPr="0068425A" w:rsidRDefault="001B228F" w:rsidP="009A73AA">
            <w:pPr>
              <w:rPr>
                <w:b/>
              </w:rPr>
            </w:pPr>
            <w:r w:rsidRPr="0068425A">
              <w:rPr>
                <w:b/>
              </w:rPr>
              <w:lastRenderedPageBreak/>
              <w:t>Week</w:t>
            </w:r>
          </w:p>
        </w:tc>
        <w:tc>
          <w:tcPr>
            <w:tcW w:w="5670" w:type="dxa"/>
          </w:tcPr>
          <w:p w14:paraId="4B07531A" w14:textId="21E19323" w:rsidR="001B228F" w:rsidRPr="00B44AE4" w:rsidRDefault="001B228F" w:rsidP="00556E98">
            <w:pPr>
              <w:ind w:left="49"/>
              <w:rPr>
                <w:b/>
              </w:rPr>
            </w:pPr>
            <w:r w:rsidRPr="00B44AE4">
              <w:rPr>
                <w:b/>
              </w:rPr>
              <w:t>Topic</w:t>
            </w:r>
          </w:p>
        </w:tc>
        <w:tc>
          <w:tcPr>
            <w:tcW w:w="3192" w:type="dxa"/>
          </w:tcPr>
          <w:p w14:paraId="730BDC64" w14:textId="0DF0765F" w:rsidR="001B228F" w:rsidRPr="00B44AE4" w:rsidRDefault="001B228F" w:rsidP="009A73AA">
            <w:pPr>
              <w:rPr>
                <w:b/>
              </w:rPr>
            </w:pPr>
            <w:r w:rsidRPr="00B44AE4">
              <w:rPr>
                <w:b/>
              </w:rPr>
              <w:t>Reading</w:t>
            </w:r>
          </w:p>
        </w:tc>
      </w:tr>
      <w:tr w:rsidR="001B228F" w:rsidRPr="009A73AA" w14:paraId="64B94260" w14:textId="77777777" w:rsidTr="001B228F">
        <w:tc>
          <w:tcPr>
            <w:tcW w:w="1188" w:type="dxa"/>
          </w:tcPr>
          <w:p w14:paraId="6648E007" w14:textId="14C765DB" w:rsidR="001B228F" w:rsidRPr="0068425A" w:rsidRDefault="001B228F" w:rsidP="009A73AA">
            <w:pPr>
              <w:rPr>
                <w:b/>
              </w:rPr>
            </w:pPr>
            <w:r w:rsidRPr="0068425A">
              <w:rPr>
                <w:b/>
              </w:rPr>
              <w:t>1</w:t>
            </w:r>
          </w:p>
          <w:p w14:paraId="1F78337B" w14:textId="1B1226A5" w:rsidR="001B228F" w:rsidRPr="0068425A" w:rsidRDefault="001B228F" w:rsidP="00D05B6F">
            <w:pPr>
              <w:rPr>
                <w:b/>
              </w:rPr>
            </w:pPr>
            <w:r w:rsidRPr="0068425A">
              <w:rPr>
                <w:b/>
              </w:rPr>
              <w:t xml:space="preserve">Sep </w:t>
            </w:r>
            <w:r w:rsidR="00D05B6F" w:rsidRPr="0068425A">
              <w:rPr>
                <w:b/>
              </w:rPr>
              <w:t>6</w:t>
            </w:r>
          </w:p>
        </w:tc>
        <w:tc>
          <w:tcPr>
            <w:tcW w:w="5670" w:type="dxa"/>
          </w:tcPr>
          <w:p w14:paraId="692BB5C7" w14:textId="6E16BCB7" w:rsidR="001B228F" w:rsidRDefault="001B228F" w:rsidP="00556E98">
            <w:pPr>
              <w:pStyle w:val="Body"/>
              <w:spacing w:before="0" w:line="240" w:lineRule="auto"/>
              <w:ind w:left="49"/>
              <w:rPr>
                <w:rFonts w:ascii="Cambria" w:hAnsi="Cambria"/>
                <w:b/>
              </w:rPr>
            </w:pPr>
            <w:r w:rsidRPr="0080239E">
              <w:rPr>
                <w:rFonts w:ascii="Cambria" w:hAnsi="Cambria"/>
                <w:b/>
              </w:rPr>
              <w:t>Overview of CRE Capital Markets</w:t>
            </w:r>
          </w:p>
          <w:p w14:paraId="25D11E8B" w14:textId="0525FC5E" w:rsidR="001B228F" w:rsidRPr="00083926" w:rsidRDefault="00592D5B" w:rsidP="00C55315">
            <w:pPr>
              <w:pStyle w:val="Body"/>
              <w:numPr>
                <w:ilvl w:val="0"/>
                <w:numId w:val="5"/>
              </w:numPr>
              <w:spacing w:before="0" w:line="240" w:lineRule="auto"/>
              <w:rPr>
                <w:rFonts w:ascii="Cambria" w:hAnsi="Cambria"/>
                <w:position w:val="4"/>
              </w:rPr>
            </w:pPr>
            <w:r>
              <w:rPr>
                <w:rFonts w:ascii="Cambria" w:hAnsi="Cambria"/>
              </w:rPr>
              <w:t>CRE capital in the context</w:t>
            </w:r>
            <w:r w:rsidR="001B228F" w:rsidRPr="00083926">
              <w:rPr>
                <w:rFonts w:ascii="Cambria" w:hAnsi="Cambria"/>
              </w:rPr>
              <w:t xml:space="preserve"> US and </w:t>
            </w:r>
            <w:r w:rsidR="00EF02FD">
              <w:rPr>
                <w:rFonts w:ascii="Cambria" w:hAnsi="Cambria"/>
              </w:rPr>
              <w:t>g</w:t>
            </w:r>
            <w:r w:rsidR="001B228F" w:rsidRPr="00083926">
              <w:rPr>
                <w:rFonts w:ascii="Cambria" w:hAnsi="Cambria"/>
              </w:rPr>
              <w:t xml:space="preserve">lobal </w:t>
            </w:r>
            <w:r w:rsidR="00EF02FD">
              <w:rPr>
                <w:rFonts w:ascii="Cambria" w:hAnsi="Cambria"/>
              </w:rPr>
              <w:t>m</w:t>
            </w:r>
            <w:r w:rsidR="001B228F" w:rsidRPr="00083926">
              <w:rPr>
                <w:rFonts w:ascii="Cambria" w:hAnsi="Cambria"/>
              </w:rPr>
              <w:t>arkets</w:t>
            </w:r>
          </w:p>
          <w:p w14:paraId="628D8A25" w14:textId="06303CD6" w:rsidR="001B228F" w:rsidRPr="00083926" w:rsidRDefault="001B228F" w:rsidP="00C55315">
            <w:pPr>
              <w:pStyle w:val="Body"/>
              <w:numPr>
                <w:ilvl w:val="0"/>
                <w:numId w:val="5"/>
              </w:numPr>
              <w:spacing w:before="0" w:line="240" w:lineRule="auto"/>
              <w:rPr>
                <w:rFonts w:ascii="Cambria" w:hAnsi="Cambria"/>
                <w:position w:val="4"/>
              </w:rPr>
            </w:pPr>
            <w:r w:rsidRPr="00083926">
              <w:rPr>
                <w:rFonts w:ascii="Cambria" w:hAnsi="Cambria"/>
              </w:rPr>
              <w:t xml:space="preserve">Nature of </w:t>
            </w:r>
            <w:r w:rsidR="00EF02FD">
              <w:rPr>
                <w:rFonts w:ascii="Cambria" w:hAnsi="Cambria"/>
              </w:rPr>
              <w:t>m</w:t>
            </w:r>
            <w:r w:rsidRPr="00083926">
              <w:rPr>
                <w:rFonts w:ascii="Cambria" w:hAnsi="Cambria"/>
              </w:rPr>
              <w:t xml:space="preserve">oney flows </w:t>
            </w:r>
          </w:p>
          <w:p w14:paraId="6AF98A80" w14:textId="03E751BC" w:rsidR="001B228F" w:rsidRPr="00083926" w:rsidRDefault="00EF02FD" w:rsidP="00C55315">
            <w:pPr>
              <w:pStyle w:val="Body"/>
              <w:numPr>
                <w:ilvl w:val="0"/>
                <w:numId w:val="5"/>
              </w:numPr>
              <w:spacing w:before="0" w:line="240" w:lineRule="auto"/>
              <w:rPr>
                <w:rFonts w:ascii="Cambria" w:hAnsi="Cambria"/>
                <w:position w:val="4"/>
              </w:rPr>
            </w:pPr>
            <w:r>
              <w:rPr>
                <w:rFonts w:ascii="Cambria" w:hAnsi="Cambria"/>
              </w:rPr>
              <w:t>Credit m</w:t>
            </w:r>
            <w:r w:rsidR="001B228F" w:rsidRPr="00083926">
              <w:rPr>
                <w:rFonts w:ascii="Cambria" w:hAnsi="Cambria"/>
              </w:rPr>
              <w:t xml:space="preserve">arket interdependence and </w:t>
            </w:r>
            <w:r>
              <w:rPr>
                <w:rFonts w:ascii="Cambria" w:hAnsi="Cambria"/>
              </w:rPr>
              <w:t>r</w:t>
            </w:r>
            <w:r w:rsidR="001B228F" w:rsidRPr="00083926">
              <w:rPr>
                <w:rFonts w:ascii="Cambria" w:hAnsi="Cambria"/>
              </w:rPr>
              <w:t xml:space="preserve">elative </w:t>
            </w:r>
            <w:r>
              <w:rPr>
                <w:rFonts w:ascii="Cambria" w:hAnsi="Cambria"/>
              </w:rPr>
              <w:t>v</w:t>
            </w:r>
            <w:r w:rsidR="001B228F" w:rsidRPr="00083926">
              <w:rPr>
                <w:rFonts w:ascii="Cambria" w:hAnsi="Cambria"/>
              </w:rPr>
              <w:t>alue</w:t>
            </w:r>
          </w:p>
          <w:p w14:paraId="2EA799B4" w14:textId="2D637B11" w:rsidR="00EF02FD" w:rsidRDefault="00A616E6" w:rsidP="00C55315">
            <w:pPr>
              <w:pStyle w:val="ListParagraph"/>
              <w:numPr>
                <w:ilvl w:val="0"/>
                <w:numId w:val="5"/>
              </w:numPr>
            </w:pPr>
            <w:r>
              <w:t>Macro</w:t>
            </w:r>
            <w:r w:rsidR="001B228F">
              <w:t>economic concepts: money supply and liquidity, interest rates, regulatory pressures</w:t>
            </w:r>
          </w:p>
          <w:p w14:paraId="615BC927" w14:textId="5C3751B7" w:rsidR="00EF02FD" w:rsidRDefault="00EF02FD" w:rsidP="00556E98">
            <w:pPr>
              <w:pStyle w:val="ListParagraph"/>
              <w:numPr>
                <w:ilvl w:val="0"/>
                <w:numId w:val="0"/>
              </w:numPr>
              <w:ind w:left="49"/>
              <w:contextualSpacing w:val="0"/>
            </w:pPr>
          </w:p>
        </w:tc>
        <w:tc>
          <w:tcPr>
            <w:tcW w:w="3192" w:type="dxa"/>
          </w:tcPr>
          <w:p w14:paraId="2FC57528" w14:textId="77777777" w:rsidR="001B228F" w:rsidRPr="00A2793E" w:rsidRDefault="005432AF" w:rsidP="006A4452">
            <w:pPr>
              <w:spacing w:after="120"/>
              <w:jc w:val="left"/>
              <w:rPr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t xml:space="preserve">Policies for </w:t>
            </w:r>
            <w:proofErr w:type="spellStart"/>
            <w:r w:rsidRPr="00A2793E">
              <w:rPr>
                <w:i/>
                <w:sz w:val="22"/>
                <w:szCs w:val="22"/>
              </w:rPr>
              <w:t>Macrofinancial</w:t>
            </w:r>
            <w:proofErr w:type="spellEnd"/>
            <w:r w:rsidRPr="00A2793E">
              <w:rPr>
                <w:i/>
                <w:sz w:val="22"/>
                <w:szCs w:val="22"/>
              </w:rPr>
              <w:t xml:space="preserve"> Stability: Options to Deal with Real Estate </w:t>
            </w:r>
            <w:proofErr w:type="gramStart"/>
            <w:r w:rsidRPr="00A2793E">
              <w:rPr>
                <w:i/>
                <w:sz w:val="22"/>
                <w:szCs w:val="22"/>
              </w:rPr>
              <w:t>Booms</w:t>
            </w:r>
            <w:r w:rsidRPr="00A2793E">
              <w:rPr>
                <w:sz w:val="22"/>
                <w:szCs w:val="22"/>
              </w:rPr>
              <w:t>,  IMF</w:t>
            </w:r>
            <w:proofErr w:type="gramEnd"/>
            <w:r w:rsidRPr="00A2793E">
              <w:rPr>
                <w:sz w:val="22"/>
                <w:szCs w:val="22"/>
              </w:rPr>
              <w:t>, Crowe et al</w:t>
            </w:r>
            <w:r w:rsidR="00D13788" w:rsidRPr="00A2793E">
              <w:rPr>
                <w:sz w:val="22"/>
                <w:szCs w:val="22"/>
              </w:rPr>
              <w:t>,</w:t>
            </w:r>
            <w:r w:rsidRPr="00A2793E">
              <w:rPr>
                <w:sz w:val="22"/>
                <w:szCs w:val="22"/>
              </w:rPr>
              <w:t xml:space="preserve"> 2011</w:t>
            </w:r>
          </w:p>
          <w:p w14:paraId="711E5211" w14:textId="77777777" w:rsidR="00D13788" w:rsidRPr="00A2793E" w:rsidRDefault="00D13788" w:rsidP="006A4452">
            <w:pPr>
              <w:spacing w:after="120"/>
              <w:jc w:val="left"/>
              <w:rPr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t xml:space="preserve">International Investment Atlas, </w:t>
            </w:r>
            <w:proofErr w:type="gramStart"/>
            <w:r w:rsidRPr="00A2793E">
              <w:rPr>
                <w:i/>
                <w:sz w:val="22"/>
                <w:szCs w:val="22"/>
              </w:rPr>
              <w:t>2015</w:t>
            </w:r>
            <w:r w:rsidRPr="00A2793E">
              <w:rPr>
                <w:sz w:val="22"/>
                <w:szCs w:val="22"/>
              </w:rPr>
              <w:t>,  Cushman</w:t>
            </w:r>
            <w:proofErr w:type="gramEnd"/>
            <w:r w:rsidRPr="00A2793E">
              <w:rPr>
                <w:sz w:val="22"/>
                <w:szCs w:val="22"/>
              </w:rPr>
              <w:t xml:space="preserve"> and Wakefield</w:t>
            </w:r>
          </w:p>
          <w:p w14:paraId="1940C459" w14:textId="278BA226" w:rsidR="00B5173A" w:rsidRDefault="00D13788" w:rsidP="0014477A">
            <w:pPr>
              <w:spacing w:after="120"/>
              <w:jc w:val="left"/>
            </w:pPr>
            <w:r w:rsidRPr="00A2793E">
              <w:rPr>
                <w:i/>
                <w:sz w:val="22"/>
                <w:szCs w:val="22"/>
              </w:rPr>
              <w:t>2015 Commercial Real Estate Outlook</w:t>
            </w:r>
            <w:r w:rsidRPr="00A2793E">
              <w:rPr>
                <w:sz w:val="22"/>
                <w:szCs w:val="22"/>
              </w:rPr>
              <w:t>, Deloitte</w:t>
            </w:r>
          </w:p>
        </w:tc>
      </w:tr>
      <w:tr w:rsidR="001B228F" w:rsidRPr="009A73AA" w14:paraId="288D6372" w14:textId="77777777" w:rsidTr="001B228F">
        <w:tc>
          <w:tcPr>
            <w:tcW w:w="1188" w:type="dxa"/>
          </w:tcPr>
          <w:p w14:paraId="409B38F5" w14:textId="77777777" w:rsidR="001B228F" w:rsidRPr="0068425A" w:rsidRDefault="001B228F" w:rsidP="006A4452">
            <w:pPr>
              <w:jc w:val="left"/>
              <w:rPr>
                <w:b/>
              </w:rPr>
            </w:pPr>
            <w:r w:rsidRPr="0068425A">
              <w:rPr>
                <w:b/>
              </w:rPr>
              <w:t>2</w:t>
            </w:r>
          </w:p>
          <w:p w14:paraId="79430A62" w14:textId="2C1424E4" w:rsidR="001B228F" w:rsidRPr="0068425A" w:rsidRDefault="001B228F" w:rsidP="00D05B6F">
            <w:pPr>
              <w:jc w:val="left"/>
              <w:rPr>
                <w:b/>
              </w:rPr>
            </w:pPr>
            <w:r w:rsidRPr="0068425A">
              <w:rPr>
                <w:b/>
              </w:rPr>
              <w:t xml:space="preserve">Sep </w:t>
            </w:r>
            <w:r w:rsidR="00D05B6F" w:rsidRPr="0068425A">
              <w:rPr>
                <w:b/>
              </w:rPr>
              <w:t>13</w:t>
            </w:r>
          </w:p>
        </w:tc>
        <w:tc>
          <w:tcPr>
            <w:tcW w:w="5670" w:type="dxa"/>
          </w:tcPr>
          <w:p w14:paraId="25D5E8FD" w14:textId="1B45448A" w:rsidR="001B228F" w:rsidRDefault="00592D5B" w:rsidP="006A4452">
            <w:pPr>
              <w:pStyle w:val="Body"/>
              <w:spacing w:before="0" w:line="240" w:lineRule="auto"/>
              <w:ind w:left="4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Mortgages Loans</w:t>
            </w:r>
          </w:p>
          <w:p w14:paraId="7705862C" w14:textId="77777777" w:rsidR="001E6504" w:rsidRDefault="001E6504" w:rsidP="006A4452">
            <w:pPr>
              <w:pStyle w:val="Body"/>
              <w:numPr>
                <w:ilvl w:val="0"/>
                <w:numId w:val="6"/>
              </w:numPr>
              <w:spacing w:before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Legal Construct</w:t>
            </w:r>
          </w:p>
          <w:p w14:paraId="28DEE6CE" w14:textId="391D9F0F" w:rsidR="00A83396" w:rsidRDefault="00A83396" w:rsidP="006A4452">
            <w:pPr>
              <w:pStyle w:val="Body"/>
              <w:numPr>
                <w:ilvl w:val="0"/>
                <w:numId w:val="6"/>
              </w:numPr>
              <w:spacing w:before="0" w:line="240" w:lineRule="auto"/>
              <w:rPr>
                <w:rFonts w:ascii="Cambria" w:hAnsi="Cambria"/>
              </w:rPr>
            </w:pPr>
            <w:r w:rsidRPr="001B228F">
              <w:rPr>
                <w:rFonts w:ascii="Cambria" w:hAnsi="Cambria"/>
              </w:rPr>
              <w:t xml:space="preserve">Underwriting </w:t>
            </w:r>
          </w:p>
          <w:p w14:paraId="56D96125" w14:textId="78CE03E7" w:rsidR="00A83396" w:rsidRDefault="00A83396" w:rsidP="006A4452">
            <w:pPr>
              <w:pStyle w:val="Body"/>
              <w:numPr>
                <w:ilvl w:val="0"/>
                <w:numId w:val="6"/>
              </w:numPr>
              <w:spacing w:before="0" w:line="240" w:lineRule="auto"/>
              <w:rPr>
                <w:rFonts w:ascii="Cambria" w:hAnsi="Cambria"/>
              </w:rPr>
            </w:pPr>
            <w:r w:rsidRPr="001B228F">
              <w:rPr>
                <w:rFonts w:ascii="Cambria" w:hAnsi="Cambria"/>
              </w:rPr>
              <w:t xml:space="preserve">Credit </w:t>
            </w:r>
            <w:r>
              <w:rPr>
                <w:rFonts w:ascii="Cambria" w:hAnsi="Cambria"/>
              </w:rPr>
              <w:t>Analysis</w:t>
            </w:r>
          </w:p>
          <w:p w14:paraId="31A1D098" w14:textId="77777777" w:rsidR="00EF02FD" w:rsidRDefault="00B505F4" w:rsidP="006A4452">
            <w:pPr>
              <w:pStyle w:val="Body"/>
              <w:numPr>
                <w:ilvl w:val="0"/>
                <w:numId w:val="6"/>
              </w:numPr>
              <w:spacing w:before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Sizing </w:t>
            </w:r>
          </w:p>
          <w:p w14:paraId="503D06B1" w14:textId="27CC181C" w:rsidR="00B505F4" w:rsidRDefault="00B505F4" w:rsidP="006A4452">
            <w:pPr>
              <w:pStyle w:val="Body"/>
              <w:numPr>
                <w:ilvl w:val="0"/>
                <w:numId w:val="6"/>
              </w:numPr>
              <w:spacing w:before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Pricing</w:t>
            </w:r>
          </w:p>
          <w:p w14:paraId="6EC054D2" w14:textId="77777777" w:rsidR="001B228F" w:rsidRDefault="00A83396" w:rsidP="006A4452">
            <w:pPr>
              <w:pStyle w:val="Body"/>
              <w:numPr>
                <w:ilvl w:val="0"/>
                <w:numId w:val="6"/>
              </w:numPr>
              <w:spacing w:before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Structuring</w:t>
            </w:r>
          </w:p>
          <w:p w14:paraId="1D4DFF2B" w14:textId="5442E458" w:rsidR="00B16AFE" w:rsidRDefault="00B16AFE" w:rsidP="006A4452">
            <w:pPr>
              <w:pStyle w:val="Body"/>
              <w:numPr>
                <w:ilvl w:val="0"/>
                <w:numId w:val="6"/>
              </w:numPr>
              <w:spacing w:before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Property specific underwriting issues</w:t>
            </w:r>
          </w:p>
          <w:p w14:paraId="1BF24F2F" w14:textId="38E61AD1" w:rsidR="00EF02FD" w:rsidRPr="00A83396" w:rsidRDefault="00EF02FD" w:rsidP="006A4452">
            <w:pPr>
              <w:pStyle w:val="Body"/>
              <w:spacing w:before="0" w:line="240" w:lineRule="auto"/>
              <w:ind w:left="49"/>
              <w:rPr>
                <w:rFonts w:ascii="Cambria" w:hAnsi="Cambria"/>
              </w:rPr>
            </w:pPr>
          </w:p>
        </w:tc>
        <w:tc>
          <w:tcPr>
            <w:tcW w:w="3192" w:type="dxa"/>
          </w:tcPr>
          <w:p w14:paraId="17E1C085" w14:textId="1DD83D5F" w:rsidR="001E6504" w:rsidRPr="00A2793E" w:rsidRDefault="001E6504" w:rsidP="00A2793E">
            <w:pPr>
              <w:spacing w:after="120"/>
              <w:jc w:val="left"/>
              <w:rPr>
                <w:i/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t xml:space="preserve">Commercial Real Estate Lending in the US, </w:t>
            </w:r>
            <w:r w:rsidR="00D13788" w:rsidRPr="00A2793E">
              <w:rPr>
                <w:sz w:val="22"/>
                <w:szCs w:val="22"/>
              </w:rPr>
              <w:t>Montgomery,</w:t>
            </w:r>
            <w:r w:rsidRPr="00A2793E">
              <w:rPr>
                <w:sz w:val="22"/>
                <w:szCs w:val="22"/>
              </w:rPr>
              <w:t xml:space="preserve"> Kuntz</w:t>
            </w:r>
            <w:r w:rsidR="00D13788" w:rsidRPr="00A2793E">
              <w:rPr>
                <w:sz w:val="22"/>
                <w:szCs w:val="22"/>
              </w:rPr>
              <w:t xml:space="preserve"> – Shearman &amp; Sterling</w:t>
            </w:r>
            <w:r w:rsidRPr="00A2793E">
              <w:rPr>
                <w:sz w:val="22"/>
                <w:szCs w:val="22"/>
              </w:rPr>
              <w:t xml:space="preserve"> 2002</w:t>
            </w:r>
          </w:p>
          <w:p w14:paraId="5C7507AD" w14:textId="77777777" w:rsidR="001B228F" w:rsidRPr="00A2793E" w:rsidRDefault="000459A3" w:rsidP="00A2793E">
            <w:pPr>
              <w:spacing w:after="120"/>
              <w:jc w:val="left"/>
              <w:rPr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t>CRE Finance Counsel</w:t>
            </w:r>
            <w:r w:rsidRPr="00A2793E">
              <w:rPr>
                <w:sz w:val="22"/>
                <w:szCs w:val="22"/>
              </w:rPr>
              <w:t xml:space="preserve"> - </w:t>
            </w:r>
            <w:r w:rsidRPr="00A2793E">
              <w:rPr>
                <w:i/>
                <w:sz w:val="22"/>
                <w:szCs w:val="22"/>
              </w:rPr>
              <w:t>Principles Based Underwriting Framework</w:t>
            </w:r>
            <w:r w:rsidRPr="00A2793E">
              <w:rPr>
                <w:sz w:val="22"/>
                <w:szCs w:val="22"/>
              </w:rPr>
              <w:t>, CREFC 2010</w:t>
            </w:r>
          </w:p>
          <w:p w14:paraId="71AA8AF6" w14:textId="1800E375" w:rsidR="00412ADA" w:rsidRPr="00A2793E" w:rsidRDefault="00412ADA" w:rsidP="00A2793E">
            <w:pPr>
              <w:spacing w:after="120"/>
              <w:jc w:val="left"/>
              <w:rPr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t>CMBS Property Evaluation Criteria, 2015,</w:t>
            </w:r>
            <w:r w:rsidRPr="00A2793E">
              <w:rPr>
                <w:sz w:val="22"/>
                <w:szCs w:val="22"/>
              </w:rPr>
              <w:t xml:space="preserve"> Kroll Bond Rating Agency</w:t>
            </w:r>
          </w:p>
          <w:p w14:paraId="39D48209" w14:textId="5D8A8E8D" w:rsidR="00A616E6" w:rsidRDefault="00337568" w:rsidP="00A2793E">
            <w:pPr>
              <w:spacing w:after="120"/>
              <w:jc w:val="left"/>
            </w:pPr>
            <w:r w:rsidRPr="00A2793E">
              <w:rPr>
                <w:i/>
                <w:sz w:val="22"/>
                <w:szCs w:val="22"/>
              </w:rPr>
              <w:t>CRE Lending Handbook,</w:t>
            </w:r>
            <w:r w:rsidRPr="00A2793E">
              <w:rPr>
                <w:sz w:val="22"/>
                <w:szCs w:val="22"/>
              </w:rPr>
              <w:t xml:space="preserve"> Office of the Controller of the Currency, 2013</w:t>
            </w:r>
          </w:p>
        </w:tc>
      </w:tr>
      <w:tr w:rsidR="00A616E6" w:rsidRPr="009A73AA" w14:paraId="02FA0549" w14:textId="77777777" w:rsidTr="001B228F">
        <w:tc>
          <w:tcPr>
            <w:tcW w:w="1188" w:type="dxa"/>
          </w:tcPr>
          <w:p w14:paraId="0BADB2DD" w14:textId="77777777" w:rsidR="00A616E6" w:rsidRPr="0068425A" w:rsidRDefault="00A616E6" w:rsidP="006A4452">
            <w:pPr>
              <w:jc w:val="left"/>
              <w:rPr>
                <w:b/>
              </w:rPr>
            </w:pPr>
            <w:r w:rsidRPr="0068425A">
              <w:rPr>
                <w:b/>
              </w:rPr>
              <w:t>3</w:t>
            </w:r>
          </w:p>
          <w:p w14:paraId="0AC4894E" w14:textId="59DDFF16" w:rsidR="00A616E6" w:rsidRPr="0068425A" w:rsidRDefault="00A616E6" w:rsidP="00D05B6F">
            <w:pPr>
              <w:jc w:val="left"/>
              <w:rPr>
                <w:b/>
              </w:rPr>
            </w:pPr>
            <w:r w:rsidRPr="0068425A">
              <w:rPr>
                <w:b/>
              </w:rPr>
              <w:t xml:space="preserve">Sep </w:t>
            </w:r>
            <w:r w:rsidR="00D05B6F" w:rsidRPr="0068425A">
              <w:rPr>
                <w:b/>
              </w:rPr>
              <w:t>20</w:t>
            </w:r>
          </w:p>
        </w:tc>
        <w:tc>
          <w:tcPr>
            <w:tcW w:w="5670" w:type="dxa"/>
          </w:tcPr>
          <w:p w14:paraId="43A668FB" w14:textId="2B8C3723" w:rsidR="00A616E6" w:rsidRPr="00A00570" w:rsidRDefault="00A616E6" w:rsidP="006A4452">
            <w:pPr>
              <w:pStyle w:val="Body"/>
              <w:spacing w:before="120"/>
              <w:ind w:left="49"/>
              <w:outlineLvl w:val="2"/>
              <w:rPr>
                <w:rFonts w:ascii="Cambria" w:hAnsi="Cambria"/>
                <w:b/>
              </w:rPr>
            </w:pPr>
            <w:r w:rsidRPr="00A00570">
              <w:rPr>
                <w:rFonts w:ascii="Cambria" w:hAnsi="Cambria"/>
                <w:b/>
              </w:rPr>
              <w:t xml:space="preserve">Subordinate </w:t>
            </w:r>
            <w:r>
              <w:rPr>
                <w:rFonts w:ascii="Cambria" w:hAnsi="Cambria"/>
                <w:b/>
              </w:rPr>
              <w:t>Debt</w:t>
            </w:r>
          </w:p>
          <w:p w14:paraId="62163295" w14:textId="77777777" w:rsidR="00A616E6" w:rsidRDefault="00A616E6" w:rsidP="006A4452">
            <w:pPr>
              <w:pStyle w:val="Body"/>
              <w:numPr>
                <w:ilvl w:val="0"/>
                <w:numId w:val="10"/>
              </w:numPr>
              <w:spacing w:before="0" w:line="240" w:lineRule="auto"/>
              <w:ind w:left="40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Structuring alternatives</w:t>
            </w:r>
          </w:p>
          <w:p w14:paraId="089F7053" w14:textId="77777777" w:rsidR="00A616E6" w:rsidRDefault="00A616E6" w:rsidP="006A4452">
            <w:pPr>
              <w:pStyle w:val="Body"/>
              <w:numPr>
                <w:ilvl w:val="0"/>
                <w:numId w:val="10"/>
              </w:numPr>
              <w:spacing w:before="0" w:line="240" w:lineRule="auto"/>
              <w:ind w:left="40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Intercreditor</w:t>
            </w:r>
            <w:proofErr w:type="spellEnd"/>
            <w:r>
              <w:rPr>
                <w:rFonts w:ascii="Cambria" w:hAnsi="Cambria"/>
              </w:rPr>
              <w:t xml:space="preserve"> agreements</w:t>
            </w:r>
          </w:p>
          <w:p w14:paraId="67A4CCBC" w14:textId="77777777" w:rsidR="00A616E6" w:rsidRDefault="00A616E6" w:rsidP="006A4452">
            <w:pPr>
              <w:pStyle w:val="Body"/>
              <w:numPr>
                <w:ilvl w:val="0"/>
                <w:numId w:val="10"/>
              </w:numPr>
              <w:spacing w:before="0" w:line="240" w:lineRule="auto"/>
              <w:ind w:left="40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Pricing</w:t>
            </w:r>
          </w:p>
          <w:p w14:paraId="384F250F" w14:textId="77777777" w:rsidR="00A616E6" w:rsidRPr="00FC5D1A" w:rsidRDefault="00A616E6" w:rsidP="006A4452">
            <w:pPr>
              <w:pStyle w:val="Body"/>
              <w:numPr>
                <w:ilvl w:val="0"/>
                <w:numId w:val="10"/>
              </w:numPr>
              <w:spacing w:before="0" w:line="240" w:lineRule="auto"/>
              <w:ind w:left="403"/>
              <w:outlineLvl w:val="2"/>
              <w:rPr>
                <w:rFonts w:ascii="Cambria" w:hAnsi="Cambria"/>
              </w:rPr>
            </w:pPr>
            <w:r w:rsidRPr="00FC5D1A">
              <w:rPr>
                <w:rFonts w:ascii="Cambria" w:hAnsi="Cambria"/>
              </w:rPr>
              <w:t>Operat</w:t>
            </w:r>
            <w:r>
              <w:rPr>
                <w:rFonts w:ascii="Cambria" w:hAnsi="Cambria"/>
              </w:rPr>
              <w:t>ional</w:t>
            </w:r>
            <w:r w:rsidRPr="00FC5D1A">
              <w:rPr>
                <w:rFonts w:ascii="Cambria" w:hAnsi="Cambria"/>
              </w:rPr>
              <w:t xml:space="preserve"> and default dynamics</w:t>
            </w:r>
            <w:r>
              <w:rPr>
                <w:rFonts w:ascii="Cambria" w:hAnsi="Cambria"/>
              </w:rPr>
              <w:t xml:space="preserve"> for subordinate investors</w:t>
            </w:r>
          </w:p>
          <w:p w14:paraId="4F4D8558" w14:textId="77777777" w:rsidR="00A616E6" w:rsidRPr="00DB3101" w:rsidRDefault="00A616E6" w:rsidP="006A4452">
            <w:pPr>
              <w:pStyle w:val="Body"/>
              <w:numPr>
                <w:ilvl w:val="0"/>
                <w:numId w:val="10"/>
              </w:numPr>
              <w:spacing w:before="0" w:line="240" w:lineRule="auto"/>
              <w:ind w:left="403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Appraisal reduction</w:t>
            </w:r>
          </w:p>
          <w:p w14:paraId="66EF0B47" w14:textId="77777777" w:rsidR="004F01EA" w:rsidRDefault="004F01EA" w:rsidP="006A4452">
            <w:pPr>
              <w:pStyle w:val="Body"/>
              <w:spacing w:before="0" w:line="240" w:lineRule="auto"/>
              <w:ind w:left="49"/>
              <w:rPr>
                <w:rFonts w:ascii="Cambria" w:hAnsi="Cambria"/>
                <w:b/>
              </w:rPr>
            </w:pPr>
          </w:p>
          <w:p w14:paraId="30A0788C" w14:textId="4BD30586" w:rsidR="004F01EA" w:rsidRDefault="004F01EA" w:rsidP="004F01EA">
            <w:pPr>
              <w:jc w:val="left"/>
            </w:pPr>
            <w:r>
              <w:rPr>
                <w:rFonts w:ascii="Cambria" w:hAnsi="Cambria"/>
                <w:b/>
              </w:rPr>
              <w:t xml:space="preserve">Note: </w:t>
            </w:r>
            <w:r w:rsidR="0014477A">
              <w:rPr>
                <w:rFonts w:ascii="Cambria" w:hAnsi="Cambria"/>
                <w:b/>
              </w:rPr>
              <w:t>T</w:t>
            </w:r>
            <w:r w:rsidRPr="004F01EA">
              <w:rPr>
                <w:rFonts w:ascii="Cambria" w:hAnsi="Cambria"/>
              </w:rPr>
              <w:t>he following</w:t>
            </w:r>
            <w:r w:rsidR="0014477A">
              <w:rPr>
                <w:rFonts w:ascii="Cambria" w:hAnsi="Cambria"/>
                <w:b/>
              </w:rPr>
              <w:t xml:space="preserve"> </w:t>
            </w:r>
            <w:r w:rsidRPr="004F01EA">
              <w:rPr>
                <w:rFonts w:ascii="Cambria" w:hAnsi="Cambria"/>
              </w:rPr>
              <w:t>paper</w:t>
            </w:r>
            <w:r w:rsidR="0014477A">
              <w:rPr>
                <w:rFonts w:ascii="Cambria" w:hAnsi="Cambria"/>
              </w:rPr>
              <w:t xml:space="preserve"> is very i</w:t>
            </w:r>
            <w:r w:rsidR="00F7740A">
              <w:rPr>
                <w:rFonts w:ascii="Cambria" w:hAnsi="Cambria"/>
              </w:rPr>
              <w:t>nformative on subordinated debt</w:t>
            </w:r>
            <w:r>
              <w:rPr>
                <w:rFonts w:ascii="Cambria" w:hAnsi="Cambria"/>
              </w:rPr>
              <w:t xml:space="preserve">: </w:t>
            </w:r>
            <w:r w:rsidRPr="0027448C">
              <w:rPr>
                <w:i/>
              </w:rPr>
              <w:t>Mezzanine Debt and Preferred</w:t>
            </w:r>
            <w:r>
              <w:rPr>
                <w:i/>
              </w:rPr>
              <w:t xml:space="preserve"> </w:t>
            </w:r>
            <w:r w:rsidRPr="0027448C">
              <w:rPr>
                <w:i/>
              </w:rPr>
              <w:t>Equity in Real Estate</w:t>
            </w:r>
            <w:r>
              <w:rPr>
                <w:i/>
              </w:rPr>
              <w:t xml:space="preserve">, </w:t>
            </w:r>
            <w:r w:rsidRPr="0027448C">
              <w:t>Andrew R. Berman</w:t>
            </w:r>
            <w:r>
              <w:t xml:space="preserve">, </w:t>
            </w:r>
            <w:r w:rsidRPr="0027448C">
              <w:t>2012</w:t>
            </w:r>
            <w:r>
              <w:t xml:space="preserve">.  </w:t>
            </w:r>
          </w:p>
          <w:p w14:paraId="3863E660" w14:textId="173D72FF" w:rsidR="004F01EA" w:rsidRDefault="004F01EA" w:rsidP="004F01EA">
            <w:pPr>
              <w:jc w:val="left"/>
            </w:pPr>
            <w:r>
              <w:t>It can be found at this link:</w:t>
            </w:r>
          </w:p>
          <w:p w14:paraId="2B7155D6" w14:textId="0F654A54" w:rsidR="004F01EA" w:rsidRPr="004F01EA" w:rsidRDefault="005B298B" w:rsidP="004F01EA">
            <w:pPr>
              <w:jc w:val="left"/>
              <w:rPr>
                <w:sz w:val="20"/>
              </w:rPr>
            </w:pPr>
            <w:hyperlink r:id="rId6" w:history="1">
              <w:r w:rsidR="004F01EA" w:rsidRPr="00CE6EAE">
                <w:rPr>
                  <w:rStyle w:val="Hyperlink"/>
                  <w:sz w:val="20"/>
                </w:rPr>
                <w:t>http://papers.ssrn.com/sol3/papers.cfm?abstract_id=2425911</w:t>
              </w:r>
            </w:hyperlink>
          </w:p>
          <w:p w14:paraId="30D42810" w14:textId="5EF6AD51" w:rsidR="004F01EA" w:rsidRDefault="004F01EA" w:rsidP="006A4452">
            <w:pPr>
              <w:pStyle w:val="Body"/>
              <w:spacing w:before="0" w:line="240" w:lineRule="auto"/>
              <w:ind w:left="49"/>
              <w:rPr>
                <w:rFonts w:ascii="Cambria" w:hAnsi="Cambria"/>
                <w:b/>
              </w:rPr>
            </w:pPr>
          </w:p>
        </w:tc>
        <w:tc>
          <w:tcPr>
            <w:tcW w:w="3192" w:type="dxa"/>
          </w:tcPr>
          <w:p w14:paraId="1BE2D5FE" w14:textId="4E561952" w:rsidR="004F01EA" w:rsidRPr="00A2793E" w:rsidRDefault="004F01EA" w:rsidP="00A2793E">
            <w:pPr>
              <w:spacing w:after="120"/>
              <w:jc w:val="left"/>
              <w:rPr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t xml:space="preserve">Commercial Real Estate Mezzanine Lending: Current Structural Features, Loan Document </w:t>
            </w:r>
            <w:proofErr w:type="spellStart"/>
            <w:proofErr w:type="gramStart"/>
            <w:r w:rsidRPr="00A2793E">
              <w:rPr>
                <w:sz w:val="22"/>
                <w:szCs w:val="22"/>
              </w:rPr>
              <w:t>Rozes</w:t>
            </w:r>
            <w:proofErr w:type="spellEnd"/>
            <w:r w:rsidRPr="00A2793E">
              <w:rPr>
                <w:sz w:val="22"/>
                <w:szCs w:val="22"/>
              </w:rPr>
              <w:t>,  Ginsburg</w:t>
            </w:r>
            <w:proofErr w:type="gramEnd"/>
            <w:r w:rsidRPr="00A2793E">
              <w:rPr>
                <w:sz w:val="22"/>
                <w:szCs w:val="22"/>
              </w:rPr>
              <w:t xml:space="preserve"> - </w:t>
            </w:r>
            <w:proofErr w:type="spellStart"/>
            <w:r w:rsidRPr="00A2793E">
              <w:rPr>
                <w:sz w:val="22"/>
                <w:szCs w:val="22"/>
              </w:rPr>
              <w:t>Dechert</w:t>
            </w:r>
            <w:proofErr w:type="spellEnd"/>
            <w:r w:rsidRPr="00A2793E">
              <w:rPr>
                <w:sz w:val="22"/>
                <w:szCs w:val="22"/>
              </w:rPr>
              <w:t xml:space="preserve"> 2013</w:t>
            </w:r>
          </w:p>
          <w:p w14:paraId="5B4920A9" w14:textId="77777777" w:rsidR="0027448C" w:rsidRPr="00A2793E" w:rsidRDefault="0027448C" w:rsidP="00A2793E">
            <w:pPr>
              <w:spacing w:after="120"/>
              <w:jc w:val="left"/>
              <w:rPr>
                <w:sz w:val="22"/>
                <w:szCs w:val="22"/>
              </w:rPr>
            </w:pPr>
            <w:proofErr w:type="spellStart"/>
            <w:r w:rsidRPr="00A2793E">
              <w:rPr>
                <w:i/>
                <w:sz w:val="22"/>
                <w:szCs w:val="22"/>
              </w:rPr>
              <w:t>Intercreditor</w:t>
            </w:r>
            <w:proofErr w:type="spellEnd"/>
            <w:r w:rsidRPr="00A2793E">
              <w:rPr>
                <w:i/>
                <w:sz w:val="22"/>
                <w:szCs w:val="22"/>
              </w:rPr>
              <w:t xml:space="preserve"> Agreements 2.0: Lessons Learned in the ‘Tranches’, </w:t>
            </w:r>
            <w:proofErr w:type="spellStart"/>
            <w:r w:rsidRPr="00A2793E">
              <w:rPr>
                <w:sz w:val="22"/>
                <w:szCs w:val="22"/>
              </w:rPr>
              <w:t>Fawer</w:t>
            </w:r>
            <w:proofErr w:type="spellEnd"/>
            <w:r w:rsidRPr="00A2793E">
              <w:rPr>
                <w:sz w:val="22"/>
                <w:szCs w:val="22"/>
              </w:rPr>
              <w:t xml:space="preserve"> and Austin, New York Law journal, 2011</w:t>
            </w:r>
          </w:p>
          <w:p w14:paraId="5611C687" w14:textId="26DF41A1" w:rsidR="0027448C" w:rsidRPr="0027448C" w:rsidRDefault="0027448C" w:rsidP="00A2793E">
            <w:pPr>
              <w:spacing w:after="120"/>
              <w:jc w:val="left"/>
              <w:rPr>
                <w:i/>
              </w:rPr>
            </w:pPr>
            <w:r w:rsidRPr="00A2793E">
              <w:rPr>
                <w:rFonts w:ascii="Cambria" w:hAnsi="Cambria"/>
                <w:i/>
                <w:sz w:val="22"/>
                <w:szCs w:val="22"/>
              </w:rPr>
              <w:t xml:space="preserve">Comparison of Subordinate Debt Structures, </w:t>
            </w:r>
            <w:r w:rsidRPr="00A2793E">
              <w:rPr>
                <w:rFonts w:ascii="Cambria" w:hAnsi="Cambria"/>
                <w:sz w:val="22"/>
                <w:szCs w:val="22"/>
              </w:rPr>
              <w:t>Wildauer and Temple, 2012</w:t>
            </w:r>
          </w:p>
        </w:tc>
      </w:tr>
      <w:tr w:rsidR="00A616E6" w:rsidRPr="009A73AA" w14:paraId="0B6BBC9C" w14:textId="77777777" w:rsidTr="001B228F">
        <w:tc>
          <w:tcPr>
            <w:tcW w:w="1188" w:type="dxa"/>
          </w:tcPr>
          <w:p w14:paraId="7B6F32BA" w14:textId="71913B4B" w:rsidR="00A616E6" w:rsidRPr="0068425A" w:rsidRDefault="00A616E6" w:rsidP="006A4452">
            <w:pPr>
              <w:jc w:val="left"/>
              <w:rPr>
                <w:b/>
              </w:rPr>
            </w:pPr>
            <w:r w:rsidRPr="0068425A">
              <w:rPr>
                <w:b/>
              </w:rPr>
              <w:t>4</w:t>
            </w:r>
          </w:p>
          <w:p w14:paraId="53B7545D" w14:textId="201FBB83" w:rsidR="00A616E6" w:rsidRPr="0068425A" w:rsidRDefault="00A616E6" w:rsidP="00D05B6F">
            <w:pPr>
              <w:jc w:val="left"/>
              <w:rPr>
                <w:b/>
              </w:rPr>
            </w:pPr>
            <w:r w:rsidRPr="0068425A">
              <w:rPr>
                <w:b/>
              </w:rPr>
              <w:t>Sep 2</w:t>
            </w:r>
            <w:r w:rsidR="00D05B6F" w:rsidRPr="0068425A">
              <w:rPr>
                <w:b/>
              </w:rPr>
              <w:t>7</w:t>
            </w:r>
          </w:p>
        </w:tc>
        <w:tc>
          <w:tcPr>
            <w:tcW w:w="5670" w:type="dxa"/>
          </w:tcPr>
          <w:p w14:paraId="0606E836" w14:textId="77777777" w:rsidR="00F35EE7" w:rsidRPr="00A00570" w:rsidRDefault="00F35EE7" w:rsidP="00F35EE7">
            <w:pPr>
              <w:pStyle w:val="Body"/>
              <w:spacing w:before="120"/>
              <w:ind w:left="49"/>
              <w:outlineLvl w:val="2"/>
              <w:rPr>
                <w:rFonts w:ascii="Cambria" w:hAnsi="Cambria"/>
                <w:b/>
              </w:rPr>
            </w:pPr>
            <w:r w:rsidRPr="00A00570">
              <w:rPr>
                <w:rFonts w:ascii="Cambria" w:hAnsi="Cambria"/>
                <w:b/>
              </w:rPr>
              <w:t xml:space="preserve">CMBS </w:t>
            </w:r>
            <w:r>
              <w:rPr>
                <w:rFonts w:ascii="Cambria" w:hAnsi="Cambria"/>
                <w:b/>
              </w:rPr>
              <w:t>Origination</w:t>
            </w:r>
          </w:p>
          <w:p w14:paraId="52070B4D" w14:textId="77777777" w:rsidR="00F35EE7" w:rsidRDefault="00F35EE7" w:rsidP="00F35EE7">
            <w:pPr>
              <w:pStyle w:val="Body"/>
              <w:numPr>
                <w:ilvl w:val="0"/>
                <w:numId w:val="8"/>
              </w:numPr>
              <w:spacing w:before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Credit construct</w:t>
            </w:r>
          </w:p>
          <w:p w14:paraId="73495ED6" w14:textId="77777777" w:rsidR="00F35EE7" w:rsidRDefault="00F35EE7" w:rsidP="00F35EE7">
            <w:pPr>
              <w:pStyle w:val="Body"/>
              <w:numPr>
                <w:ilvl w:val="0"/>
                <w:numId w:val="8"/>
              </w:numPr>
              <w:spacing w:before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Types of CMBS issuance</w:t>
            </w:r>
          </w:p>
          <w:p w14:paraId="60C83E16" w14:textId="77777777" w:rsidR="00F35EE7" w:rsidRDefault="00F35EE7" w:rsidP="00F35EE7">
            <w:pPr>
              <w:pStyle w:val="Body"/>
              <w:numPr>
                <w:ilvl w:val="0"/>
                <w:numId w:val="8"/>
              </w:numPr>
              <w:spacing w:before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Rating agency criteria</w:t>
            </w:r>
          </w:p>
          <w:p w14:paraId="7D02C60D" w14:textId="77777777" w:rsidR="00F35EE7" w:rsidRDefault="00F35EE7" w:rsidP="00F35EE7">
            <w:pPr>
              <w:pStyle w:val="Body"/>
              <w:numPr>
                <w:ilvl w:val="0"/>
                <w:numId w:val="8"/>
              </w:numPr>
              <w:spacing w:before="0" w:line="240" w:lineRule="auto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Loan Pool Rollup</w:t>
            </w:r>
          </w:p>
          <w:p w14:paraId="6E74EEC9" w14:textId="77777777" w:rsidR="00F35EE7" w:rsidRDefault="00F35EE7" w:rsidP="00F35EE7">
            <w:pPr>
              <w:pStyle w:val="Body"/>
              <w:numPr>
                <w:ilvl w:val="0"/>
                <w:numId w:val="8"/>
              </w:numPr>
              <w:spacing w:before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Tranching</w:t>
            </w:r>
            <w:proofErr w:type="spellEnd"/>
            <w:r>
              <w:rPr>
                <w:rFonts w:ascii="Cambria" w:hAnsi="Cambria"/>
              </w:rPr>
              <w:t xml:space="preserve"> of bonds</w:t>
            </w:r>
          </w:p>
          <w:p w14:paraId="16F97DD9" w14:textId="77777777" w:rsidR="00F35EE7" w:rsidRPr="00A616E6" w:rsidRDefault="00F35EE7" w:rsidP="00F35EE7">
            <w:pPr>
              <w:pStyle w:val="Body"/>
              <w:numPr>
                <w:ilvl w:val="0"/>
                <w:numId w:val="8"/>
              </w:numPr>
              <w:spacing w:before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Pricing</w:t>
            </w:r>
          </w:p>
          <w:p w14:paraId="3B2C48C1" w14:textId="323392E9" w:rsidR="00A616E6" w:rsidRPr="00A00570" w:rsidRDefault="00A616E6" w:rsidP="006A4452">
            <w:pPr>
              <w:pStyle w:val="Body"/>
              <w:spacing w:before="0" w:line="240" w:lineRule="auto"/>
              <w:ind w:left="49"/>
              <w:rPr>
                <w:rFonts w:ascii="Cambria" w:hAnsi="Cambria"/>
                <w:b/>
              </w:rPr>
            </w:pPr>
          </w:p>
        </w:tc>
        <w:tc>
          <w:tcPr>
            <w:tcW w:w="3192" w:type="dxa"/>
          </w:tcPr>
          <w:p w14:paraId="75BE3AF4" w14:textId="77777777" w:rsidR="00F35EE7" w:rsidRPr="00A2793E" w:rsidRDefault="00F35EE7" w:rsidP="00F35EE7">
            <w:pPr>
              <w:jc w:val="left"/>
              <w:rPr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lastRenderedPageBreak/>
              <w:t>CRE Finance Counsel- CMBS E-</w:t>
            </w:r>
            <w:proofErr w:type="gramStart"/>
            <w:r w:rsidRPr="00A2793E">
              <w:rPr>
                <w:i/>
                <w:sz w:val="22"/>
                <w:szCs w:val="22"/>
              </w:rPr>
              <w:t xml:space="preserve">Primer,  </w:t>
            </w:r>
            <w:r w:rsidRPr="00A2793E">
              <w:rPr>
                <w:sz w:val="22"/>
                <w:szCs w:val="22"/>
              </w:rPr>
              <w:t>CREFC</w:t>
            </w:r>
            <w:proofErr w:type="gramEnd"/>
            <w:r w:rsidRPr="00A2793E">
              <w:rPr>
                <w:sz w:val="22"/>
                <w:szCs w:val="22"/>
              </w:rPr>
              <w:t xml:space="preserve"> 2013</w:t>
            </w:r>
          </w:p>
          <w:p w14:paraId="1DE8895F" w14:textId="77777777" w:rsidR="00F35EE7" w:rsidRPr="00A2793E" w:rsidRDefault="00F35EE7" w:rsidP="00A2793E">
            <w:pPr>
              <w:spacing w:after="120"/>
              <w:jc w:val="left"/>
              <w:rPr>
                <w:i/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lastRenderedPageBreak/>
              <w:t xml:space="preserve">CMBS 101, </w:t>
            </w:r>
            <w:proofErr w:type="spellStart"/>
            <w:r w:rsidRPr="00A2793E">
              <w:rPr>
                <w:sz w:val="22"/>
                <w:szCs w:val="22"/>
              </w:rPr>
              <w:t>Berenbaum</w:t>
            </w:r>
            <w:proofErr w:type="spellEnd"/>
            <w:r w:rsidRPr="00A2793E">
              <w:rPr>
                <w:sz w:val="22"/>
                <w:szCs w:val="22"/>
              </w:rPr>
              <w:t>,</w:t>
            </w:r>
            <w:r w:rsidRPr="00A2793E">
              <w:rPr>
                <w:i/>
                <w:sz w:val="22"/>
                <w:szCs w:val="22"/>
              </w:rPr>
              <w:t xml:space="preserve"> </w:t>
            </w:r>
            <w:r w:rsidRPr="00A2793E">
              <w:rPr>
                <w:sz w:val="22"/>
                <w:szCs w:val="22"/>
              </w:rPr>
              <w:t>Wheeler CREFC Annual Conference, 2015</w:t>
            </w:r>
          </w:p>
          <w:p w14:paraId="2CEFED34" w14:textId="55376528" w:rsidR="006A4452" w:rsidRPr="00F35EE7" w:rsidRDefault="00F35EE7" w:rsidP="00A2793E">
            <w:pPr>
              <w:spacing w:after="120"/>
              <w:jc w:val="left"/>
              <w:rPr>
                <w:i/>
              </w:rPr>
            </w:pPr>
            <w:r w:rsidRPr="00A2793E">
              <w:rPr>
                <w:i/>
                <w:sz w:val="22"/>
                <w:szCs w:val="22"/>
              </w:rPr>
              <w:t>BACM 2006-6 Offering Memorandum</w:t>
            </w:r>
          </w:p>
        </w:tc>
      </w:tr>
      <w:tr w:rsidR="00A616E6" w:rsidRPr="009A73AA" w14:paraId="0E9CFE57" w14:textId="77777777" w:rsidTr="001B228F">
        <w:tc>
          <w:tcPr>
            <w:tcW w:w="1188" w:type="dxa"/>
          </w:tcPr>
          <w:p w14:paraId="2F483A9E" w14:textId="77777777" w:rsidR="00A616E6" w:rsidRPr="0068425A" w:rsidRDefault="00A616E6" w:rsidP="006A4452">
            <w:pPr>
              <w:jc w:val="left"/>
              <w:rPr>
                <w:b/>
              </w:rPr>
            </w:pPr>
            <w:r w:rsidRPr="0068425A">
              <w:rPr>
                <w:b/>
              </w:rPr>
              <w:lastRenderedPageBreak/>
              <w:t>5</w:t>
            </w:r>
          </w:p>
          <w:p w14:paraId="2EA40DE3" w14:textId="58D0C2A8" w:rsidR="00A616E6" w:rsidRPr="0068425A" w:rsidRDefault="00D05B6F" w:rsidP="00D05B6F">
            <w:pPr>
              <w:jc w:val="left"/>
              <w:rPr>
                <w:b/>
              </w:rPr>
            </w:pPr>
            <w:r w:rsidRPr="0068425A">
              <w:rPr>
                <w:b/>
              </w:rPr>
              <w:t>Oct</w:t>
            </w:r>
            <w:r w:rsidR="00A616E6" w:rsidRPr="0068425A">
              <w:rPr>
                <w:b/>
              </w:rPr>
              <w:t xml:space="preserve"> </w:t>
            </w:r>
            <w:r w:rsidRPr="0068425A">
              <w:rPr>
                <w:b/>
              </w:rPr>
              <w:t>4</w:t>
            </w:r>
          </w:p>
        </w:tc>
        <w:tc>
          <w:tcPr>
            <w:tcW w:w="5670" w:type="dxa"/>
          </w:tcPr>
          <w:p w14:paraId="2F95161B" w14:textId="77777777" w:rsidR="00F35EE7" w:rsidRDefault="00F35EE7" w:rsidP="00F35EE7">
            <w:pPr>
              <w:pStyle w:val="Body"/>
              <w:spacing w:before="120"/>
              <w:ind w:left="49"/>
              <w:outlineLvl w:val="2"/>
              <w:rPr>
                <w:rFonts w:ascii="Cambria" w:hAnsi="Cambria"/>
                <w:b/>
              </w:rPr>
            </w:pPr>
            <w:r w:rsidRPr="00A00570">
              <w:rPr>
                <w:rFonts w:ascii="Cambria" w:hAnsi="Cambria"/>
                <w:b/>
              </w:rPr>
              <w:t xml:space="preserve">CMBS </w:t>
            </w:r>
            <w:r>
              <w:rPr>
                <w:rFonts w:ascii="Cambria" w:hAnsi="Cambria"/>
                <w:b/>
              </w:rPr>
              <w:t>Secondary I</w:t>
            </w:r>
            <w:r w:rsidRPr="00A00570">
              <w:rPr>
                <w:rFonts w:ascii="Cambria" w:hAnsi="Cambria"/>
                <w:b/>
              </w:rPr>
              <w:t xml:space="preserve">nvesting and </w:t>
            </w:r>
            <w:r>
              <w:rPr>
                <w:rFonts w:ascii="Cambria" w:hAnsi="Cambria"/>
                <w:b/>
              </w:rPr>
              <w:t>A</w:t>
            </w:r>
            <w:r w:rsidRPr="00A00570">
              <w:rPr>
                <w:rFonts w:ascii="Cambria" w:hAnsi="Cambria"/>
                <w:b/>
              </w:rPr>
              <w:t>nalytics</w:t>
            </w:r>
          </w:p>
          <w:p w14:paraId="057DE47A" w14:textId="77777777" w:rsidR="00F35EE7" w:rsidRDefault="00F35EE7" w:rsidP="00F35EE7">
            <w:pPr>
              <w:pStyle w:val="Body"/>
              <w:numPr>
                <w:ilvl w:val="0"/>
                <w:numId w:val="8"/>
              </w:numPr>
              <w:spacing w:before="0" w:line="240" w:lineRule="auto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Loan pool underwriting</w:t>
            </w:r>
          </w:p>
          <w:p w14:paraId="49B2C78E" w14:textId="77777777" w:rsidR="00F35EE7" w:rsidRDefault="00F35EE7" w:rsidP="00F35EE7">
            <w:pPr>
              <w:pStyle w:val="Body"/>
              <w:numPr>
                <w:ilvl w:val="0"/>
                <w:numId w:val="8"/>
              </w:numPr>
              <w:spacing w:before="0" w:line="240" w:lineRule="auto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Bond structure</w:t>
            </w:r>
          </w:p>
          <w:p w14:paraId="6A9E6501" w14:textId="77777777" w:rsidR="00F35EE7" w:rsidRPr="00D93005" w:rsidRDefault="00F35EE7" w:rsidP="00F35EE7">
            <w:pPr>
              <w:pStyle w:val="Body"/>
              <w:numPr>
                <w:ilvl w:val="0"/>
                <w:numId w:val="8"/>
              </w:numPr>
              <w:spacing w:before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Defaults, Loss given default, Prepayments</w:t>
            </w:r>
          </w:p>
          <w:p w14:paraId="5995D012" w14:textId="77777777" w:rsidR="00F35EE7" w:rsidRDefault="00F35EE7" w:rsidP="00F35EE7">
            <w:pPr>
              <w:pStyle w:val="Body"/>
              <w:numPr>
                <w:ilvl w:val="0"/>
                <w:numId w:val="8"/>
              </w:numPr>
              <w:spacing w:before="0" w:line="240" w:lineRule="auto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Yield analysis</w:t>
            </w:r>
          </w:p>
          <w:p w14:paraId="635C3447" w14:textId="77777777" w:rsidR="00F35EE7" w:rsidRPr="00B9512F" w:rsidRDefault="00F35EE7" w:rsidP="00F35EE7">
            <w:pPr>
              <w:pStyle w:val="Body"/>
              <w:numPr>
                <w:ilvl w:val="0"/>
                <w:numId w:val="8"/>
              </w:numPr>
              <w:spacing w:before="0" w:line="240" w:lineRule="auto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B-pieces</w:t>
            </w:r>
          </w:p>
          <w:p w14:paraId="66B57B0E" w14:textId="27548113" w:rsidR="00A616E6" w:rsidRPr="00A00570" w:rsidRDefault="00A616E6" w:rsidP="00F35EE7">
            <w:pPr>
              <w:pStyle w:val="Body"/>
              <w:numPr>
                <w:ilvl w:val="0"/>
                <w:numId w:val="8"/>
              </w:numPr>
              <w:spacing w:before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192" w:type="dxa"/>
          </w:tcPr>
          <w:p w14:paraId="16E6E8D9" w14:textId="0F976FEE" w:rsidR="009D487B" w:rsidRPr="00A2793E" w:rsidRDefault="009D487B" w:rsidP="00A2793E">
            <w:pPr>
              <w:spacing w:after="120"/>
              <w:jc w:val="left"/>
              <w:rPr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t>Ratings Action–BACM 2006-6</w:t>
            </w:r>
            <w:r w:rsidRPr="00A2793E">
              <w:rPr>
                <w:sz w:val="22"/>
                <w:szCs w:val="22"/>
              </w:rPr>
              <w:br/>
              <w:t>Moody’s Investors Service</w:t>
            </w:r>
          </w:p>
          <w:p w14:paraId="3AD7DA02" w14:textId="542C8BE1" w:rsidR="009D487B" w:rsidRPr="00A2793E" w:rsidRDefault="009D487B" w:rsidP="00A2793E">
            <w:pPr>
              <w:spacing w:after="120"/>
              <w:jc w:val="left"/>
              <w:rPr>
                <w:i/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t xml:space="preserve">Servicer Report–BACM 2006-6, </w:t>
            </w:r>
            <w:r w:rsidRPr="00A2793E">
              <w:rPr>
                <w:sz w:val="22"/>
                <w:szCs w:val="22"/>
              </w:rPr>
              <w:t>Sep. 2015</w:t>
            </w:r>
          </w:p>
          <w:p w14:paraId="29D5D44F" w14:textId="515C1208" w:rsidR="009D487B" w:rsidRPr="00A2793E" w:rsidRDefault="009D487B" w:rsidP="00A2793E">
            <w:pPr>
              <w:spacing w:after="120"/>
              <w:jc w:val="left"/>
              <w:rPr>
                <w:i/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t>Trustee Report–BACM 2006-6,</w:t>
            </w:r>
            <w:r w:rsidRPr="00A2793E">
              <w:rPr>
                <w:sz w:val="22"/>
                <w:szCs w:val="22"/>
              </w:rPr>
              <w:t xml:space="preserve"> Sep. 2015</w:t>
            </w:r>
          </w:p>
          <w:p w14:paraId="5B3EADC3" w14:textId="62D0532A" w:rsidR="009D487B" w:rsidRPr="009D487B" w:rsidRDefault="009D487B" w:rsidP="00A2793E">
            <w:pPr>
              <w:spacing w:after="120"/>
              <w:jc w:val="left"/>
              <w:rPr>
                <w:color w:val="000000"/>
                <w:szCs w:val="22"/>
                <w:shd w:val="clear" w:color="auto" w:fill="FFFFFF"/>
              </w:rPr>
            </w:pPr>
            <w:r w:rsidRPr="00A2793E">
              <w:rPr>
                <w:i/>
                <w:color w:val="000000"/>
                <w:sz w:val="22"/>
                <w:szCs w:val="22"/>
                <w:shd w:val="clear" w:color="auto" w:fill="FFFFFF"/>
              </w:rPr>
              <w:t>CMBS loans in the news</w:t>
            </w:r>
            <w:r w:rsidRPr="00A2793E">
              <w:rPr>
                <w:color w:val="000000"/>
                <w:sz w:val="22"/>
                <w:szCs w:val="22"/>
                <w:shd w:val="clear" w:color="auto" w:fill="FFFFFF"/>
              </w:rPr>
              <w:t xml:space="preserve"> – Credit Suisse, Feb. 2012</w:t>
            </w:r>
          </w:p>
        </w:tc>
      </w:tr>
      <w:tr w:rsidR="001B228F" w:rsidRPr="009A73AA" w14:paraId="74A15BA1" w14:textId="77777777" w:rsidTr="001B228F">
        <w:tc>
          <w:tcPr>
            <w:tcW w:w="1188" w:type="dxa"/>
          </w:tcPr>
          <w:p w14:paraId="019B1901" w14:textId="6FE86F12" w:rsidR="001B228F" w:rsidRPr="0068425A" w:rsidRDefault="00FC5D1A" w:rsidP="006A4452">
            <w:pPr>
              <w:jc w:val="left"/>
              <w:rPr>
                <w:b/>
              </w:rPr>
            </w:pPr>
            <w:r w:rsidRPr="0068425A">
              <w:rPr>
                <w:b/>
              </w:rPr>
              <w:br w:type="page"/>
            </w:r>
            <w:r w:rsidR="001B228F" w:rsidRPr="0068425A">
              <w:rPr>
                <w:b/>
              </w:rPr>
              <w:t>6</w:t>
            </w:r>
          </w:p>
          <w:p w14:paraId="71A21099" w14:textId="6ABB5C9F" w:rsidR="001B228F" w:rsidRPr="0068425A" w:rsidRDefault="001B228F" w:rsidP="00D05B6F">
            <w:pPr>
              <w:jc w:val="left"/>
              <w:rPr>
                <w:b/>
              </w:rPr>
            </w:pPr>
            <w:r w:rsidRPr="0068425A">
              <w:rPr>
                <w:b/>
              </w:rPr>
              <w:t xml:space="preserve">Oct </w:t>
            </w:r>
            <w:r w:rsidR="00D05B6F" w:rsidRPr="0068425A">
              <w:rPr>
                <w:b/>
              </w:rPr>
              <w:t>11</w:t>
            </w:r>
          </w:p>
        </w:tc>
        <w:tc>
          <w:tcPr>
            <w:tcW w:w="5670" w:type="dxa"/>
          </w:tcPr>
          <w:p w14:paraId="2F7AC15D" w14:textId="77777777" w:rsidR="00D05B6F" w:rsidRDefault="00D05B6F" w:rsidP="00D05B6F">
            <w:pPr>
              <w:pStyle w:val="Body"/>
              <w:spacing w:before="120"/>
              <w:ind w:left="49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Transitional Lending; Alternative Financing</w:t>
            </w:r>
          </w:p>
          <w:p w14:paraId="1358CD4D" w14:textId="77777777" w:rsidR="00D05B6F" w:rsidRPr="002E0F43" w:rsidRDefault="00D05B6F" w:rsidP="00D05B6F">
            <w:pPr>
              <w:pStyle w:val="Body"/>
              <w:numPr>
                <w:ilvl w:val="0"/>
                <w:numId w:val="10"/>
              </w:numPr>
              <w:spacing w:before="0" w:line="240" w:lineRule="auto"/>
              <w:outlineLvl w:val="2"/>
              <w:rPr>
                <w:rFonts w:ascii="Cambria" w:hAnsi="Cambria"/>
                <w:b/>
              </w:rPr>
            </w:pPr>
            <w:r w:rsidRPr="00083926">
              <w:rPr>
                <w:rFonts w:ascii="Cambria" w:hAnsi="Cambria"/>
              </w:rPr>
              <w:t>Development Financing</w:t>
            </w:r>
          </w:p>
          <w:p w14:paraId="50C8C582" w14:textId="77777777" w:rsidR="00D05B6F" w:rsidRPr="00C015EE" w:rsidRDefault="00D05B6F" w:rsidP="00D05B6F">
            <w:pPr>
              <w:pStyle w:val="Body"/>
              <w:numPr>
                <w:ilvl w:val="0"/>
                <w:numId w:val="10"/>
              </w:numPr>
              <w:spacing w:before="0" w:line="240" w:lineRule="auto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Bridge Financing</w:t>
            </w:r>
          </w:p>
          <w:p w14:paraId="414DF174" w14:textId="77777777" w:rsidR="00D05B6F" w:rsidRPr="00DD7494" w:rsidRDefault="00D05B6F" w:rsidP="00D05B6F">
            <w:pPr>
              <w:pStyle w:val="Body"/>
              <w:numPr>
                <w:ilvl w:val="0"/>
                <w:numId w:val="10"/>
              </w:numPr>
              <w:spacing w:before="0" w:line="240" w:lineRule="auto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HVCRE</w:t>
            </w:r>
          </w:p>
          <w:p w14:paraId="684EBB77" w14:textId="77777777" w:rsidR="00D05B6F" w:rsidRDefault="00D05B6F" w:rsidP="00D05B6F">
            <w:pPr>
              <w:pStyle w:val="Body"/>
              <w:spacing w:before="0" w:line="240" w:lineRule="auto"/>
              <w:ind w:left="409"/>
              <w:outlineLvl w:val="2"/>
              <w:rPr>
                <w:rFonts w:ascii="Cambria" w:hAnsi="Cambria"/>
                <w:b/>
              </w:rPr>
            </w:pPr>
          </w:p>
          <w:p w14:paraId="7163B8FC" w14:textId="2879EB90" w:rsidR="00B9512F" w:rsidRPr="00A00570" w:rsidRDefault="009D487B" w:rsidP="00D05B6F">
            <w:pPr>
              <w:pStyle w:val="Body"/>
              <w:spacing w:before="0" w:line="240" w:lineRule="auto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CRE Debt </w:t>
            </w:r>
            <w:r w:rsidR="00F35EE7">
              <w:rPr>
                <w:rFonts w:ascii="Cambria" w:hAnsi="Cambria"/>
                <w:b/>
              </w:rPr>
              <w:t>Review</w:t>
            </w:r>
          </w:p>
        </w:tc>
        <w:tc>
          <w:tcPr>
            <w:tcW w:w="3192" w:type="dxa"/>
          </w:tcPr>
          <w:p w14:paraId="496EA927" w14:textId="77777777" w:rsidR="00D05B6F" w:rsidRPr="00A2793E" w:rsidRDefault="00D05B6F" w:rsidP="00D05B6F">
            <w:pPr>
              <w:spacing w:after="120"/>
              <w:jc w:val="left"/>
              <w:rPr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t>Construction Loan Industry Standard Practices</w:t>
            </w:r>
            <w:r w:rsidRPr="00A2793E">
              <w:rPr>
                <w:sz w:val="22"/>
                <w:szCs w:val="22"/>
              </w:rPr>
              <w:t>, Coker, 2015</w:t>
            </w:r>
          </w:p>
          <w:p w14:paraId="355C2625" w14:textId="77777777" w:rsidR="00D05B6F" w:rsidRPr="00A2793E" w:rsidRDefault="00D05B6F" w:rsidP="00D05B6F">
            <w:pPr>
              <w:spacing w:after="120"/>
              <w:jc w:val="left"/>
              <w:rPr>
                <w:i/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t>HVCRE – US Federal Banking Agencies Release Answers to FAQ</w:t>
            </w:r>
            <w:r w:rsidRPr="00A2793E">
              <w:rPr>
                <w:sz w:val="22"/>
                <w:szCs w:val="22"/>
              </w:rPr>
              <w:t>, Gibson Dunn, 2015</w:t>
            </w:r>
          </w:p>
          <w:p w14:paraId="2B301F47" w14:textId="77777777" w:rsidR="00D05B6F" w:rsidRPr="00A2793E" w:rsidRDefault="00D05B6F" w:rsidP="00D05B6F">
            <w:pPr>
              <w:spacing w:after="120"/>
              <w:jc w:val="left"/>
              <w:rPr>
                <w:i/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t>AIA Pay Application Form</w:t>
            </w:r>
          </w:p>
          <w:p w14:paraId="702CA55B" w14:textId="77777777" w:rsidR="00D05B6F" w:rsidRPr="00A2793E" w:rsidRDefault="00D05B6F" w:rsidP="00D05B6F">
            <w:pPr>
              <w:spacing w:after="120"/>
              <w:jc w:val="left"/>
              <w:rPr>
                <w:i/>
                <w:sz w:val="22"/>
                <w:szCs w:val="22"/>
              </w:rPr>
            </w:pPr>
            <w:r w:rsidRPr="00A2793E">
              <w:rPr>
                <w:i/>
                <w:sz w:val="22"/>
                <w:szCs w:val="22"/>
              </w:rPr>
              <w:t>Standard Terms and Conditions – Construction Loan</w:t>
            </w:r>
          </w:p>
          <w:p w14:paraId="19BCA20C" w14:textId="7BD08798" w:rsidR="001B228F" w:rsidRDefault="00D05B6F" w:rsidP="00D05B6F">
            <w:pPr>
              <w:jc w:val="left"/>
            </w:pPr>
            <w:proofErr w:type="spellStart"/>
            <w:r w:rsidRPr="00A2793E">
              <w:rPr>
                <w:i/>
                <w:sz w:val="22"/>
                <w:szCs w:val="22"/>
              </w:rPr>
              <w:t>MFDraw</w:t>
            </w:r>
            <w:proofErr w:type="spellEnd"/>
            <w:r w:rsidRPr="00A2793E">
              <w:rPr>
                <w:i/>
                <w:sz w:val="22"/>
                <w:szCs w:val="22"/>
              </w:rPr>
              <w:t xml:space="preserve"> Workbook -</w:t>
            </w:r>
            <w:r w:rsidRPr="00A2793E">
              <w:rPr>
                <w:sz w:val="22"/>
                <w:szCs w:val="22"/>
              </w:rPr>
              <w:t>Texas</w:t>
            </w:r>
          </w:p>
        </w:tc>
      </w:tr>
      <w:tr w:rsidR="001B228F" w:rsidRPr="009A73AA" w14:paraId="2CC9E6D6" w14:textId="77777777" w:rsidTr="001B228F">
        <w:tc>
          <w:tcPr>
            <w:tcW w:w="1188" w:type="dxa"/>
          </w:tcPr>
          <w:p w14:paraId="04EA6ED1" w14:textId="3EC91F10" w:rsidR="001B228F" w:rsidRPr="0068425A" w:rsidRDefault="005B298B" w:rsidP="006A4452">
            <w:pPr>
              <w:jc w:val="left"/>
              <w:rPr>
                <w:b/>
              </w:rPr>
            </w:pPr>
            <w:r>
              <w:rPr>
                <w:b/>
              </w:rPr>
              <w:t>Friday, October 21</w:t>
            </w:r>
          </w:p>
        </w:tc>
        <w:tc>
          <w:tcPr>
            <w:tcW w:w="5670" w:type="dxa"/>
          </w:tcPr>
          <w:p w14:paraId="2564A9AC" w14:textId="6854A6E7" w:rsidR="00C55315" w:rsidRPr="00FE3374" w:rsidRDefault="005B298B" w:rsidP="006A4452">
            <w:pPr>
              <w:pStyle w:val="Body"/>
              <w:spacing w:before="120"/>
              <w:ind w:left="49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9:00 am B8333 </w:t>
            </w:r>
            <w:r w:rsidR="00C55315" w:rsidRPr="00FE3374">
              <w:rPr>
                <w:rFonts w:ascii="Cambria" w:hAnsi="Cambria"/>
                <w:b/>
              </w:rPr>
              <w:t xml:space="preserve">Mid Term Exam – </w:t>
            </w:r>
            <w:r w:rsidR="00F35EE7" w:rsidRPr="00FE3374">
              <w:rPr>
                <w:rFonts w:ascii="Cambria" w:hAnsi="Cambria"/>
                <w:b/>
              </w:rPr>
              <w:t xml:space="preserve"> </w:t>
            </w:r>
          </w:p>
          <w:p w14:paraId="30A9F110" w14:textId="0313A676" w:rsidR="00556E98" w:rsidRPr="00DD7494" w:rsidRDefault="00556E98" w:rsidP="00FE3374">
            <w:pPr>
              <w:pStyle w:val="Body"/>
              <w:spacing w:before="0" w:line="240" w:lineRule="auto"/>
              <w:ind w:left="409"/>
              <w:outlineLvl w:val="2"/>
              <w:rPr>
                <w:rFonts w:ascii="Cambria" w:hAnsi="Cambria"/>
                <w:b/>
              </w:rPr>
            </w:pPr>
          </w:p>
        </w:tc>
        <w:tc>
          <w:tcPr>
            <w:tcW w:w="3192" w:type="dxa"/>
          </w:tcPr>
          <w:p w14:paraId="0291C1F1" w14:textId="30D729E3" w:rsidR="000F025E" w:rsidRPr="000F025E" w:rsidRDefault="000F025E" w:rsidP="00A2793E">
            <w:pPr>
              <w:spacing w:after="120"/>
              <w:jc w:val="left"/>
              <w:rPr>
                <w:i/>
              </w:rPr>
            </w:pPr>
          </w:p>
        </w:tc>
      </w:tr>
    </w:tbl>
    <w:p w14:paraId="5B37E968" w14:textId="77777777" w:rsidR="00B9512F" w:rsidRDefault="00B9512F">
      <w:bookmarkStart w:id="0" w:name="_GoBack"/>
      <w:bookmarkEnd w:id="0"/>
      <w:r>
        <w:br w:type="page"/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1188"/>
        <w:gridCol w:w="5670"/>
        <w:gridCol w:w="3192"/>
      </w:tblGrid>
      <w:tr w:rsidR="001B228F" w:rsidRPr="009A73AA" w14:paraId="2D59727F" w14:textId="77777777" w:rsidTr="001B228F">
        <w:tc>
          <w:tcPr>
            <w:tcW w:w="1188" w:type="dxa"/>
          </w:tcPr>
          <w:p w14:paraId="045D97A2" w14:textId="6D7BF0E0" w:rsidR="001B228F" w:rsidRPr="0068425A" w:rsidRDefault="00D05B6F" w:rsidP="006A4452">
            <w:pPr>
              <w:jc w:val="left"/>
              <w:rPr>
                <w:b/>
              </w:rPr>
            </w:pPr>
            <w:r w:rsidRPr="0068425A">
              <w:rPr>
                <w:b/>
              </w:rPr>
              <w:lastRenderedPageBreak/>
              <w:t>7</w:t>
            </w:r>
          </w:p>
          <w:p w14:paraId="45DC3FD0" w14:textId="46D4BD62" w:rsidR="001B228F" w:rsidRPr="0068425A" w:rsidRDefault="001B228F" w:rsidP="00D05B6F">
            <w:pPr>
              <w:jc w:val="left"/>
              <w:rPr>
                <w:b/>
              </w:rPr>
            </w:pPr>
            <w:r w:rsidRPr="0068425A">
              <w:rPr>
                <w:b/>
              </w:rPr>
              <w:t>Nov 1</w:t>
            </w:r>
          </w:p>
        </w:tc>
        <w:tc>
          <w:tcPr>
            <w:tcW w:w="5670" w:type="dxa"/>
          </w:tcPr>
          <w:p w14:paraId="084BF65C" w14:textId="215DD8B1" w:rsidR="00DB3101" w:rsidRDefault="001B228F" w:rsidP="006A4452">
            <w:pPr>
              <w:pStyle w:val="Body"/>
              <w:spacing w:before="120"/>
              <w:ind w:left="49"/>
              <w:outlineLvl w:val="2"/>
              <w:rPr>
                <w:rFonts w:ascii="Cambria" w:hAnsi="Cambria"/>
                <w:b/>
              </w:rPr>
            </w:pPr>
            <w:r w:rsidRPr="00B44AE4">
              <w:rPr>
                <w:rFonts w:ascii="Cambria" w:hAnsi="Cambria"/>
                <w:b/>
              </w:rPr>
              <w:t>Equity Markets</w:t>
            </w:r>
            <w:r w:rsidR="00DB3101">
              <w:rPr>
                <w:rFonts w:ascii="Cambria" w:hAnsi="Cambria"/>
                <w:b/>
              </w:rPr>
              <w:t xml:space="preserve">;  </w:t>
            </w:r>
          </w:p>
          <w:p w14:paraId="2E97955B" w14:textId="4F611CD2" w:rsidR="00DB3101" w:rsidRDefault="00DB3101" w:rsidP="006A4452">
            <w:pPr>
              <w:pStyle w:val="Body"/>
              <w:numPr>
                <w:ilvl w:val="0"/>
                <w:numId w:val="12"/>
              </w:numPr>
              <w:spacing w:before="0" w:line="240" w:lineRule="auto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Market </w:t>
            </w:r>
            <w:r w:rsidR="00C55315"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>articipants</w:t>
            </w:r>
          </w:p>
          <w:p w14:paraId="30E33F5B" w14:textId="0803D050" w:rsidR="001B228F" w:rsidRDefault="001B228F" w:rsidP="006A4452">
            <w:pPr>
              <w:pStyle w:val="Body"/>
              <w:numPr>
                <w:ilvl w:val="0"/>
                <w:numId w:val="12"/>
              </w:numPr>
              <w:spacing w:before="0" w:line="240" w:lineRule="auto"/>
              <w:outlineLvl w:val="2"/>
              <w:rPr>
                <w:rFonts w:ascii="Cambria" w:hAnsi="Cambria"/>
              </w:rPr>
            </w:pPr>
            <w:r w:rsidRPr="00DD7494">
              <w:rPr>
                <w:rFonts w:ascii="Cambria" w:hAnsi="Cambria"/>
              </w:rPr>
              <w:t xml:space="preserve">Public sources </w:t>
            </w:r>
          </w:p>
          <w:p w14:paraId="491A313B" w14:textId="77777777" w:rsidR="00DB3101" w:rsidRDefault="00DB3101" w:rsidP="006A4452">
            <w:pPr>
              <w:pStyle w:val="Body"/>
              <w:numPr>
                <w:ilvl w:val="0"/>
                <w:numId w:val="12"/>
              </w:numPr>
              <w:spacing w:before="0" w:line="240" w:lineRule="auto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Private sources</w:t>
            </w:r>
          </w:p>
          <w:p w14:paraId="56127F7C" w14:textId="6839AF81" w:rsidR="00556E98" w:rsidRDefault="00556E98" w:rsidP="006A4452">
            <w:pPr>
              <w:pStyle w:val="Body"/>
              <w:numPr>
                <w:ilvl w:val="0"/>
                <w:numId w:val="12"/>
              </w:numPr>
              <w:spacing w:before="0" w:line="240" w:lineRule="auto"/>
              <w:outlineLvl w:val="2"/>
              <w:rPr>
                <w:rFonts w:ascii="Cambria" w:hAnsi="Cambria"/>
              </w:rPr>
            </w:pPr>
          </w:p>
          <w:p w14:paraId="2D88E734" w14:textId="4C899B2A" w:rsidR="00556E98" w:rsidRPr="0040750B" w:rsidRDefault="00556E98" w:rsidP="006A4452">
            <w:pPr>
              <w:pStyle w:val="Body"/>
              <w:spacing w:before="0" w:line="240" w:lineRule="auto"/>
              <w:ind w:left="49"/>
              <w:outlineLvl w:val="2"/>
              <w:rPr>
                <w:rFonts w:ascii="Cambria" w:hAnsi="Cambria"/>
              </w:rPr>
            </w:pPr>
          </w:p>
        </w:tc>
        <w:tc>
          <w:tcPr>
            <w:tcW w:w="3192" w:type="dxa"/>
          </w:tcPr>
          <w:p w14:paraId="2357F455" w14:textId="266154FE" w:rsidR="00D05B6F" w:rsidRDefault="00D05B6F" w:rsidP="00D05B6F">
            <w:pPr>
              <w:spacing w:after="120"/>
              <w:jc w:val="left"/>
              <w:rPr>
                <w:i/>
              </w:rPr>
            </w:pPr>
            <w:r w:rsidRPr="000B2576">
              <w:rPr>
                <w:i/>
              </w:rPr>
              <w:t>2014</w:t>
            </w:r>
            <w:r>
              <w:rPr>
                <w:i/>
              </w:rPr>
              <w:t xml:space="preserve"> </w:t>
            </w:r>
            <w:r w:rsidRPr="000B2576">
              <w:rPr>
                <w:i/>
              </w:rPr>
              <w:t>Institutional</w:t>
            </w:r>
            <w:r>
              <w:rPr>
                <w:i/>
              </w:rPr>
              <w:t xml:space="preserve"> </w:t>
            </w:r>
            <w:r w:rsidRPr="000B2576">
              <w:rPr>
                <w:i/>
              </w:rPr>
              <w:t>Real Estate</w:t>
            </w:r>
            <w:r>
              <w:rPr>
                <w:i/>
              </w:rPr>
              <w:t xml:space="preserve"> </w:t>
            </w:r>
            <w:r w:rsidRPr="000B2576">
              <w:rPr>
                <w:i/>
              </w:rPr>
              <w:t>Allocations</w:t>
            </w:r>
            <w:r>
              <w:rPr>
                <w:i/>
              </w:rPr>
              <w:t xml:space="preserve"> </w:t>
            </w:r>
            <w:r w:rsidRPr="000B2576">
              <w:rPr>
                <w:i/>
              </w:rPr>
              <w:t>Monitor</w:t>
            </w:r>
            <w:r>
              <w:rPr>
                <w:i/>
              </w:rPr>
              <w:t xml:space="preserve">, </w:t>
            </w:r>
            <w:r w:rsidRPr="000B2576">
              <w:t xml:space="preserve">Cornell University, </w:t>
            </w:r>
            <w:proofErr w:type="spellStart"/>
            <w:r w:rsidRPr="000B2576">
              <w:t>Hodes</w:t>
            </w:r>
            <w:proofErr w:type="spellEnd"/>
            <w:r w:rsidRPr="000B2576">
              <w:t xml:space="preserve"> Weill</w:t>
            </w:r>
            <w:r>
              <w:t xml:space="preserve"> &amp; Assoc.</w:t>
            </w:r>
          </w:p>
          <w:p w14:paraId="781A8B28" w14:textId="2E3028D1" w:rsidR="00D05B6F" w:rsidRDefault="00D05B6F" w:rsidP="00FE3374">
            <w:pPr>
              <w:spacing w:after="120"/>
              <w:jc w:val="left"/>
            </w:pPr>
            <w:r w:rsidRPr="000302A9">
              <w:rPr>
                <w:i/>
              </w:rPr>
              <w:t>Global Investment Managers</w:t>
            </w:r>
            <w:r>
              <w:t xml:space="preserve"> </w:t>
            </w:r>
            <w:proofErr w:type="gramStart"/>
            <w:r w:rsidRPr="000302A9">
              <w:rPr>
                <w:i/>
              </w:rPr>
              <w:t>2014</w:t>
            </w:r>
            <w:r>
              <w:t>,  Institutional</w:t>
            </w:r>
            <w:proofErr w:type="gramEnd"/>
            <w:r>
              <w:t xml:space="preserve"> Real Estate, I</w:t>
            </w:r>
            <w:r w:rsidR="00FE3374">
              <w:t>n</w:t>
            </w:r>
            <w:r>
              <w:t>c.</w:t>
            </w:r>
          </w:p>
        </w:tc>
      </w:tr>
      <w:tr w:rsidR="00D05B6F" w:rsidRPr="009A73AA" w14:paraId="0A6A75A0" w14:textId="77777777" w:rsidTr="00273C83">
        <w:tc>
          <w:tcPr>
            <w:tcW w:w="1188" w:type="dxa"/>
          </w:tcPr>
          <w:p w14:paraId="7F74BCFD" w14:textId="77777777" w:rsidR="00D05B6F" w:rsidRPr="0068425A" w:rsidRDefault="00D05B6F" w:rsidP="00273C83">
            <w:pPr>
              <w:jc w:val="left"/>
              <w:rPr>
                <w:b/>
              </w:rPr>
            </w:pPr>
            <w:r w:rsidRPr="0068425A">
              <w:rPr>
                <w:b/>
              </w:rPr>
              <w:t>8</w:t>
            </w:r>
          </w:p>
          <w:p w14:paraId="3C832721" w14:textId="6E7A549A" w:rsidR="00D05B6F" w:rsidRPr="0068425A" w:rsidRDefault="00D05B6F" w:rsidP="00D05B6F">
            <w:pPr>
              <w:jc w:val="left"/>
              <w:rPr>
                <w:b/>
              </w:rPr>
            </w:pPr>
            <w:r w:rsidRPr="0068425A">
              <w:rPr>
                <w:b/>
              </w:rPr>
              <w:t>Nov 15</w:t>
            </w:r>
          </w:p>
        </w:tc>
        <w:tc>
          <w:tcPr>
            <w:tcW w:w="5670" w:type="dxa"/>
          </w:tcPr>
          <w:p w14:paraId="0E80E227" w14:textId="77777777" w:rsidR="00D05B6F" w:rsidRDefault="00D05B6F" w:rsidP="00273C83">
            <w:pPr>
              <w:pStyle w:val="Body"/>
              <w:spacing w:before="120"/>
              <w:ind w:left="49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REIT Overview, Structuring and Capitalization</w:t>
            </w:r>
          </w:p>
          <w:p w14:paraId="01709863" w14:textId="77777777" w:rsidR="00D05B6F" w:rsidRPr="00DB3101" w:rsidRDefault="00D05B6F" w:rsidP="00273C83">
            <w:pPr>
              <w:pStyle w:val="Body"/>
              <w:numPr>
                <w:ilvl w:val="0"/>
                <w:numId w:val="13"/>
              </w:numPr>
              <w:spacing w:before="0" w:line="240" w:lineRule="auto"/>
              <w:ind w:left="403"/>
              <w:outlineLvl w:val="2"/>
              <w:rPr>
                <w:rFonts w:ascii="Cambria" w:hAnsi="Cambria"/>
              </w:rPr>
            </w:pPr>
            <w:r w:rsidRPr="00DB3101">
              <w:rPr>
                <w:rFonts w:ascii="Cambria" w:hAnsi="Cambria"/>
              </w:rPr>
              <w:t>Tax construct</w:t>
            </w:r>
          </w:p>
          <w:p w14:paraId="5792B381" w14:textId="77777777" w:rsidR="00D05B6F" w:rsidRDefault="00D05B6F" w:rsidP="00273C83">
            <w:pPr>
              <w:pStyle w:val="Body"/>
              <w:numPr>
                <w:ilvl w:val="0"/>
                <w:numId w:val="13"/>
              </w:numPr>
              <w:spacing w:before="0" w:line="240" w:lineRule="auto"/>
              <w:ind w:left="403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Structural requirements</w:t>
            </w:r>
          </w:p>
          <w:p w14:paraId="31FD35C8" w14:textId="77777777" w:rsidR="00D05B6F" w:rsidRDefault="00D05B6F" w:rsidP="00273C83">
            <w:pPr>
              <w:pStyle w:val="Body"/>
              <w:numPr>
                <w:ilvl w:val="0"/>
                <w:numId w:val="13"/>
              </w:numPr>
              <w:spacing w:before="0" w:line="240" w:lineRule="auto"/>
              <w:ind w:left="403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Business strategies</w:t>
            </w:r>
          </w:p>
          <w:p w14:paraId="5A04F765" w14:textId="77777777" w:rsidR="00D05B6F" w:rsidRDefault="00D05B6F" w:rsidP="00273C83">
            <w:pPr>
              <w:pStyle w:val="Body"/>
              <w:numPr>
                <w:ilvl w:val="0"/>
                <w:numId w:val="13"/>
              </w:numPr>
              <w:spacing w:before="0" w:line="240" w:lineRule="auto"/>
              <w:ind w:left="403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Internal vs external management</w:t>
            </w:r>
          </w:p>
          <w:p w14:paraId="0B93D14F" w14:textId="77777777" w:rsidR="00D05B6F" w:rsidRPr="00DB3101" w:rsidRDefault="00D05B6F" w:rsidP="00273C83">
            <w:pPr>
              <w:pStyle w:val="Body"/>
              <w:numPr>
                <w:ilvl w:val="0"/>
                <w:numId w:val="13"/>
              </w:numPr>
              <w:spacing w:before="0" w:line="240" w:lineRule="auto"/>
              <w:ind w:left="403"/>
              <w:outlineLvl w:val="2"/>
              <w:rPr>
                <w:rFonts w:ascii="Cambria" w:hAnsi="Cambria"/>
              </w:rPr>
            </w:pPr>
            <w:r w:rsidRPr="00DB3101">
              <w:rPr>
                <w:rFonts w:ascii="Cambria" w:hAnsi="Cambria"/>
              </w:rPr>
              <w:t>Public market</w:t>
            </w:r>
            <w:r>
              <w:rPr>
                <w:rFonts w:ascii="Cambria" w:hAnsi="Cambria"/>
              </w:rPr>
              <w:t xml:space="preserve"> criteria</w:t>
            </w:r>
          </w:p>
          <w:p w14:paraId="40D18197" w14:textId="77777777" w:rsidR="00D05B6F" w:rsidRPr="00E33A02" w:rsidRDefault="00D05B6F" w:rsidP="00273C83">
            <w:pPr>
              <w:pStyle w:val="Body"/>
              <w:numPr>
                <w:ilvl w:val="0"/>
                <w:numId w:val="13"/>
              </w:numPr>
              <w:spacing w:before="0" w:line="240" w:lineRule="auto"/>
              <w:ind w:left="403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Balance sheet management</w:t>
            </w:r>
          </w:p>
          <w:p w14:paraId="4065590B" w14:textId="77777777" w:rsidR="00D05B6F" w:rsidRPr="00E33A02" w:rsidRDefault="00D05B6F" w:rsidP="00273C83">
            <w:pPr>
              <w:pStyle w:val="Body"/>
              <w:numPr>
                <w:ilvl w:val="0"/>
                <w:numId w:val="13"/>
              </w:numPr>
              <w:spacing w:before="0" w:line="240" w:lineRule="auto"/>
              <w:ind w:left="403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Structure variations</w:t>
            </w:r>
          </w:p>
          <w:p w14:paraId="0B15D703" w14:textId="77777777" w:rsidR="00D05B6F" w:rsidRDefault="00D05B6F" w:rsidP="00273C83">
            <w:pPr>
              <w:pStyle w:val="Body"/>
              <w:spacing w:before="0"/>
              <w:ind w:left="409"/>
              <w:outlineLvl w:val="2"/>
              <w:rPr>
                <w:rFonts w:ascii="Cambria" w:hAnsi="Cambria"/>
                <w:b/>
              </w:rPr>
            </w:pPr>
          </w:p>
        </w:tc>
        <w:tc>
          <w:tcPr>
            <w:tcW w:w="3192" w:type="dxa"/>
          </w:tcPr>
          <w:p w14:paraId="5FE643A9" w14:textId="77777777" w:rsidR="00D05B6F" w:rsidRDefault="00D05B6F" w:rsidP="00273C83">
            <w:pPr>
              <w:spacing w:after="120"/>
              <w:jc w:val="left"/>
            </w:pPr>
            <w:r w:rsidRPr="00F52E71">
              <w:rPr>
                <w:i/>
              </w:rPr>
              <w:t>REIT Primer, 4</w:t>
            </w:r>
            <w:r w:rsidRPr="00F52E71">
              <w:rPr>
                <w:i/>
                <w:vertAlign w:val="superscript"/>
              </w:rPr>
              <w:t>th</w:t>
            </w:r>
            <w:r w:rsidRPr="00F52E71">
              <w:rPr>
                <w:i/>
              </w:rPr>
              <w:t xml:space="preserve"> Ed. </w:t>
            </w:r>
            <w:proofErr w:type="spellStart"/>
            <w:r>
              <w:t>BofAML</w:t>
            </w:r>
            <w:proofErr w:type="spellEnd"/>
            <w:r>
              <w:t xml:space="preserve"> </w:t>
            </w:r>
          </w:p>
          <w:p w14:paraId="1FBEA5BB" w14:textId="77777777" w:rsidR="00D05B6F" w:rsidRDefault="00D05B6F" w:rsidP="00273C83">
            <w:pPr>
              <w:spacing w:after="120"/>
              <w:jc w:val="left"/>
            </w:pPr>
            <w:r w:rsidRPr="00F52E71">
              <w:rPr>
                <w:i/>
              </w:rPr>
              <w:t>REITs 101: An Introduction</w:t>
            </w:r>
            <w:r>
              <w:t>, Barclays</w:t>
            </w:r>
          </w:p>
          <w:p w14:paraId="6FE8A9A8" w14:textId="77777777" w:rsidR="00D05B6F" w:rsidRDefault="00D05B6F" w:rsidP="00273C83">
            <w:pPr>
              <w:spacing w:after="120"/>
              <w:jc w:val="left"/>
            </w:pPr>
            <w:r w:rsidRPr="00F52E71">
              <w:rPr>
                <w:i/>
              </w:rPr>
              <w:t>REIT IPOs</w:t>
            </w:r>
            <w:r>
              <w:t xml:space="preserve">, Morrison &amp; </w:t>
            </w:r>
            <w:proofErr w:type="spellStart"/>
            <w:r>
              <w:t>Foerster</w:t>
            </w:r>
            <w:proofErr w:type="spellEnd"/>
          </w:p>
          <w:p w14:paraId="5BE8BB68" w14:textId="35BFBEA2" w:rsidR="00D05B6F" w:rsidRDefault="00D05B6F" w:rsidP="00D05B6F">
            <w:pPr>
              <w:spacing w:after="120"/>
              <w:jc w:val="left"/>
            </w:pPr>
            <w:r w:rsidRPr="00F52E71">
              <w:rPr>
                <w:i/>
              </w:rPr>
              <w:t>A Primer on US Equity REITs and Their Role in an Institutional Investment Portfolio</w:t>
            </w:r>
            <w:r>
              <w:t xml:space="preserve">, NEPC, </w:t>
            </w:r>
            <w:proofErr w:type="spellStart"/>
            <w:r>
              <w:t>Ruhman</w:t>
            </w:r>
            <w:proofErr w:type="spellEnd"/>
            <w:r>
              <w:t>, Bruce et. al.</w:t>
            </w:r>
          </w:p>
        </w:tc>
      </w:tr>
      <w:tr w:rsidR="00D05B6F" w:rsidRPr="009A73AA" w14:paraId="745C0EFF" w14:textId="77777777" w:rsidTr="001B228F">
        <w:tc>
          <w:tcPr>
            <w:tcW w:w="1188" w:type="dxa"/>
          </w:tcPr>
          <w:p w14:paraId="59022427" w14:textId="77777777" w:rsidR="00D05B6F" w:rsidRPr="0068425A" w:rsidRDefault="00D05B6F" w:rsidP="00D05B6F">
            <w:pPr>
              <w:jc w:val="left"/>
              <w:rPr>
                <w:b/>
              </w:rPr>
            </w:pPr>
            <w:r w:rsidRPr="0068425A">
              <w:rPr>
                <w:b/>
              </w:rPr>
              <w:t xml:space="preserve">9 </w:t>
            </w:r>
          </w:p>
          <w:p w14:paraId="532C8695" w14:textId="30DBB3B8" w:rsidR="00D05B6F" w:rsidRPr="0068425A" w:rsidRDefault="00D05B6F" w:rsidP="00D05B6F">
            <w:pPr>
              <w:jc w:val="left"/>
              <w:rPr>
                <w:b/>
              </w:rPr>
            </w:pPr>
            <w:r w:rsidRPr="0068425A">
              <w:rPr>
                <w:b/>
              </w:rPr>
              <w:t>Nov 22</w:t>
            </w:r>
          </w:p>
        </w:tc>
        <w:tc>
          <w:tcPr>
            <w:tcW w:w="5670" w:type="dxa"/>
          </w:tcPr>
          <w:p w14:paraId="6CC42839" w14:textId="77777777" w:rsidR="00D05B6F" w:rsidRDefault="00D05B6F" w:rsidP="00D05B6F">
            <w:pPr>
              <w:pStyle w:val="Body"/>
              <w:spacing w:before="120"/>
              <w:ind w:left="49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Joint Venture Structuring</w:t>
            </w:r>
          </w:p>
          <w:p w14:paraId="6E33E555" w14:textId="0B9928AC" w:rsidR="00D05B6F" w:rsidRDefault="00D05B6F" w:rsidP="00D05B6F">
            <w:pPr>
              <w:pStyle w:val="Body"/>
              <w:numPr>
                <w:ilvl w:val="0"/>
                <w:numId w:val="22"/>
              </w:numPr>
              <w:spacing w:before="120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JV Structures and promoted interests</w:t>
            </w:r>
          </w:p>
        </w:tc>
        <w:tc>
          <w:tcPr>
            <w:tcW w:w="3192" w:type="dxa"/>
          </w:tcPr>
          <w:p w14:paraId="204511C2" w14:textId="77777777" w:rsidR="00D05B6F" w:rsidRDefault="00D05B6F" w:rsidP="00D05B6F">
            <w:pPr>
              <w:spacing w:after="120"/>
              <w:jc w:val="left"/>
              <w:rPr>
                <w:sz w:val="22"/>
              </w:rPr>
            </w:pPr>
            <w:r w:rsidRPr="00A2793E">
              <w:rPr>
                <w:i/>
                <w:sz w:val="22"/>
              </w:rPr>
              <w:t>Understanding and Teaching Private Equity Structures</w:t>
            </w:r>
            <w:r w:rsidRPr="00A2793E">
              <w:rPr>
                <w:sz w:val="22"/>
              </w:rPr>
              <w:t>, Hutchison, 2012</w:t>
            </w:r>
          </w:p>
          <w:p w14:paraId="14C71114" w14:textId="77777777" w:rsidR="00D05B6F" w:rsidRDefault="00D05B6F" w:rsidP="00D05B6F">
            <w:pPr>
              <w:spacing w:after="12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Key Considerations in Joint Venture Projects</w:t>
            </w:r>
            <w:r w:rsidRPr="00A873DA">
              <w:rPr>
                <w:sz w:val="22"/>
              </w:rPr>
              <w:t xml:space="preserve">, </w:t>
            </w:r>
            <w:proofErr w:type="spellStart"/>
            <w:r w:rsidRPr="00A873DA">
              <w:rPr>
                <w:sz w:val="22"/>
              </w:rPr>
              <w:t>Schneiderman</w:t>
            </w:r>
            <w:proofErr w:type="spellEnd"/>
            <w:r w:rsidRPr="00A873DA">
              <w:rPr>
                <w:sz w:val="22"/>
              </w:rPr>
              <w:t xml:space="preserve">, </w:t>
            </w:r>
            <w:proofErr w:type="spellStart"/>
            <w:r w:rsidRPr="00A873DA">
              <w:rPr>
                <w:sz w:val="22"/>
              </w:rPr>
              <w:t>Altshuler</w:t>
            </w:r>
            <w:proofErr w:type="spellEnd"/>
            <w:r w:rsidRPr="00A873DA">
              <w:rPr>
                <w:sz w:val="22"/>
              </w:rPr>
              <w:t>,</w:t>
            </w:r>
          </w:p>
          <w:p w14:paraId="33E6D853" w14:textId="77777777" w:rsidR="00D05B6F" w:rsidRDefault="00D05B6F" w:rsidP="00D05B6F">
            <w:pPr>
              <w:spacing w:after="120"/>
              <w:jc w:val="left"/>
              <w:rPr>
                <w:sz w:val="22"/>
              </w:rPr>
            </w:pPr>
            <w:r w:rsidRPr="00A2793E">
              <w:rPr>
                <w:i/>
                <w:sz w:val="22"/>
              </w:rPr>
              <w:t xml:space="preserve">Structuring Real Estate JVs, </w:t>
            </w:r>
            <w:proofErr w:type="spellStart"/>
            <w:r w:rsidRPr="00A2793E">
              <w:rPr>
                <w:sz w:val="22"/>
              </w:rPr>
              <w:t>Boliek</w:t>
            </w:r>
            <w:proofErr w:type="spellEnd"/>
            <w:r w:rsidRPr="00A2793E">
              <w:rPr>
                <w:sz w:val="22"/>
              </w:rPr>
              <w:t>, Pickett, Temple, 2014</w:t>
            </w:r>
          </w:p>
          <w:p w14:paraId="3A05BA80" w14:textId="77777777" w:rsidR="00D05B6F" w:rsidRDefault="00D05B6F" w:rsidP="00D05B6F">
            <w:pPr>
              <w:spacing w:after="120"/>
              <w:jc w:val="left"/>
              <w:rPr>
                <w:sz w:val="22"/>
              </w:rPr>
            </w:pPr>
            <w:r w:rsidRPr="00A873DA">
              <w:rPr>
                <w:i/>
                <w:sz w:val="22"/>
              </w:rPr>
              <w:t>Real Estate JV Promote Calculations</w:t>
            </w:r>
            <w:r>
              <w:rPr>
                <w:sz w:val="22"/>
              </w:rPr>
              <w:t>, REFJ- Carey, 2013</w:t>
            </w:r>
          </w:p>
          <w:p w14:paraId="57F1DA99" w14:textId="08D08BE2" w:rsidR="00D05B6F" w:rsidRPr="00F52E71" w:rsidRDefault="00D05B6F" w:rsidP="00D05B6F">
            <w:pPr>
              <w:spacing w:after="120"/>
              <w:jc w:val="left"/>
              <w:rPr>
                <w:i/>
              </w:rPr>
            </w:pPr>
            <w:r w:rsidRPr="00A873DA">
              <w:rPr>
                <w:i/>
                <w:sz w:val="22"/>
              </w:rPr>
              <w:t>A Primer on Real Estate Joint Venture Agreements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Gosfield</w:t>
            </w:r>
            <w:proofErr w:type="spellEnd"/>
            <w:r>
              <w:rPr>
                <w:sz w:val="22"/>
              </w:rPr>
              <w:t>, Stern, 2008</w:t>
            </w:r>
          </w:p>
        </w:tc>
      </w:tr>
      <w:tr w:rsidR="00D05B6F" w:rsidRPr="009A73AA" w14:paraId="7F6E4DEA" w14:textId="77777777" w:rsidTr="00273C83">
        <w:tc>
          <w:tcPr>
            <w:tcW w:w="1188" w:type="dxa"/>
          </w:tcPr>
          <w:p w14:paraId="770AB6BB" w14:textId="77777777" w:rsidR="00D05B6F" w:rsidRPr="0068425A" w:rsidRDefault="00D05B6F" w:rsidP="00273C83">
            <w:pPr>
              <w:jc w:val="left"/>
              <w:rPr>
                <w:b/>
              </w:rPr>
            </w:pPr>
            <w:r w:rsidRPr="0068425A">
              <w:rPr>
                <w:b/>
              </w:rPr>
              <w:br w:type="page"/>
              <w:t>10</w:t>
            </w:r>
          </w:p>
          <w:p w14:paraId="71111F6A" w14:textId="1317EE2F" w:rsidR="00D05B6F" w:rsidRPr="0068425A" w:rsidRDefault="00D05B6F" w:rsidP="00D05B6F">
            <w:pPr>
              <w:jc w:val="left"/>
              <w:rPr>
                <w:b/>
              </w:rPr>
            </w:pPr>
            <w:r w:rsidRPr="0068425A">
              <w:rPr>
                <w:b/>
              </w:rPr>
              <w:t>Nov 29</w:t>
            </w:r>
          </w:p>
        </w:tc>
        <w:tc>
          <w:tcPr>
            <w:tcW w:w="5670" w:type="dxa"/>
          </w:tcPr>
          <w:p w14:paraId="38EF0C89" w14:textId="77777777" w:rsidR="00D05B6F" w:rsidRDefault="00D05B6F" w:rsidP="00273C83">
            <w:pPr>
              <w:pStyle w:val="Body"/>
              <w:spacing w:before="120"/>
              <w:ind w:left="49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REIT Investment Presentations</w:t>
            </w:r>
          </w:p>
          <w:p w14:paraId="45C0B451" w14:textId="77777777" w:rsidR="00D05B6F" w:rsidRDefault="00D05B6F" w:rsidP="00273C83">
            <w:pPr>
              <w:pStyle w:val="Body"/>
              <w:spacing w:before="0" w:line="240" w:lineRule="auto"/>
              <w:ind w:left="403"/>
              <w:outlineLvl w:val="2"/>
              <w:rPr>
                <w:rFonts w:ascii="Cambria" w:hAnsi="Cambria"/>
                <w:b/>
              </w:rPr>
            </w:pPr>
          </w:p>
        </w:tc>
        <w:tc>
          <w:tcPr>
            <w:tcW w:w="3192" w:type="dxa"/>
          </w:tcPr>
          <w:p w14:paraId="0CD26B62" w14:textId="77777777" w:rsidR="00D05B6F" w:rsidRDefault="00D05B6F" w:rsidP="00273C83">
            <w:pPr>
              <w:jc w:val="left"/>
            </w:pPr>
            <w:r w:rsidRPr="006F0F8D">
              <w:rPr>
                <w:i/>
              </w:rPr>
              <w:t xml:space="preserve">REIT Valuation:  The NAV-based Pricing </w:t>
            </w:r>
            <w:proofErr w:type="gramStart"/>
            <w:r w:rsidRPr="006F0F8D">
              <w:rPr>
                <w:i/>
              </w:rPr>
              <w:t>Model</w:t>
            </w:r>
            <w:r>
              <w:t>,  Green</w:t>
            </w:r>
            <w:proofErr w:type="gramEnd"/>
            <w:r>
              <w:t xml:space="preserve"> Street Advisors</w:t>
            </w:r>
          </w:p>
        </w:tc>
      </w:tr>
    </w:tbl>
    <w:p w14:paraId="00D0CFFA" w14:textId="77777777" w:rsidR="00FE3374" w:rsidRDefault="00FE3374">
      <w:r>
        <w:br w:type="page"/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1188"/>
        <w:gridCol w:w="5670"/>
        <w:gridCol w:w="3192"/>
      </w:tblGrid>
      <w:tr w:rsidR="00D05B6F" w:rsidRPr="009A73AA" w14:paraId="5B73FD14" w14:textId="77777777" w:rsidTr="001B228F">
        <w:tc>
          <w:tcPr>
            <w:tcW w:w="1188" w:type="dxa"/>
          </w:tcPr>
          <w:p w14:paraId="6C2FC3C5" w14:textId="2FF5B941" w:rsidR="00D05B6F" w:rsidRPr="0068425A" w:rsidRDefault="00D05B6F" w:rsidP="00D05B6F">
            <w:pPr>
              <w:jc w:val="left"/>
              <w:rPr>
                <w:b/>
              </w:rPr>
            </w:pPr>
            <w:r w:rsidRPr="0068425A">
              <w:rPr>
                <w:b/>
              </w:rPr>
              <w:lastRenderedPageBreak/>
              <w:t>11</w:t>
            </w:r>
          </w:p>
          <w:p w14:paraId="4F60E4FD" w14:textId="671F45A5" w:rsidR="00D05B6F" w:rsidRPr="0068425A" w:rsidRDefault="00D05B6F" w:rsidP="00D05B6F">
            <w:pPr>
              <w:jc w:val="left"/>
              <w:rPr>
                <w:b/>
              </w:rPr>
            </w:pPr>
            <w:r w:rsidRPr="0068425A">
              <w:rPr>
                <w:b/>
              </w:rPr>
              <w:t>Dec 6</w:t>
            </w:r>
          </w:p>
        </w:tc>
        <w:tc>
          <w:tcPr>
            <w:tcW w:w="5670" w:type="dxa"/>
          </w:tcPr>
          <w:p w14:paraId="5FF3FDFD" w14:textId="77777777" w:rsidR="00D05B6F" w:rsidRDefault="00D05B6F" w:rsidP="00D05B6F">
            <w:pPr>
              <w:pStyle w:val="Body"/>
              <w:spacing w:before="120"/>
              <w:ind w:left="49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Equity Fund Structures</w:t>
            </w:r>
          </w:p>
          <w:p w14:paraId="2E63C733" w14:textId="77777777" w:rsidR="00D05B6F" w:rsidRDefault="00D05B6F" w:rsidP="00D05B6F">
            <w:pPr>
              <w:pStyle w:val="Body"/>
              <w:numPr>
                <w:ilvl w:val="0"/>
                <w:numId w:val="13"/>
              </w:numPr>
              <w:spacing w:before="0" w:line="240" w:lineRule="auto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Fund Strategies</w:t>
            </w:r>
          </w:p>
          <w:p w14:paraId="44DDC5C5" w14:textId="77777777" w:rsidR="00D05B6F" w:rsidRDefault="00D05B6F" w:rsidP="00D05B6F">
            <w:pPr>
              <w:pStyle w:val="Body"/>
              <w:numPr>
                <w:ilvl w:val="0"/>
                <w:numId w:val="13"/>
              </w:numPr>
              <w:spacing w:before="0" w:line="240" w:lineRule="auto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Open end funds</w:t>
            </w:r>
          </w:p>
          <w:p w14:paraId="0AF8F308" w14:textId="77777777" w:rsidR="00D05B6F" w:rsidRPr="00DD7494" w:rsidRDefault="00D05B6F" w:rsidP="00D05B6F">
            <w:pPr>
              <w:pStyle w:val="Body"/>
              <w:numPr>
                <w:ilvl w:val="0"/>
                <w:numId w:val="13"/>
              </w:numPr>
              <w:spacing w:before="0" w:line="240" w:lineRule="auto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Closed end f</w:t>
            </w:r>
            <w:r w:rsidRPr="00DD7494">
              <w:rPr>
                <w:rFonts w:ascii="Cambria" w:hAnsi="Cambria"/>
              </w:rPr>
              <w:t xml:space="preserve">unds </w:t>
            </w:r>
          </w:p>
          <w:p w14:paraId="0B9032EE" w14:textId="77777777" w:rsidR="00D05B6F" w:rsidRDefault="00D05B6F" w:rsidP="00D05B6F">
            <w:pPr>
              <w:pStyle w:val="Body"/>
              <w:numPr>
                <w:ilvl w:val="0"/>
                <w:numId w:val="13"/>
              </w:numPr>
              <w:spacing w:before="0" w:line="240" w:lineRule="auto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Private e</w:t>
            </w:r>
            <w:r w:rsidRPr="00DD7494">
              <w:rPr>
                <w:rFonts w:ascii="Cambria" w:hAnsi="Cambria"/>
              </w:rPr>
              <w:t>quity</w:t>
            </w:r>
            <w:r>
              <w:rPr>
                <w:rFonts w:ascii="Cambria" w:hAnsi="Cambria"/>
              </w:rPr>
              <w:t xml:space="preserve"> funds</w:t>
            </w:r>
          </w:p>
          <w:p w14:paraId="35FE90B4" w14:textId="77777777" w:rsidR="00D05B6F" w:rsidRDefault="00D05B6F" w:rsidP="00D05B6F">
            <w:pPr>
              <w:pStyle w:val="Body"/>
              <w:numPr>
                <w:ilvl w:val="0"/>
                <w:numId w:val="13"/>
              </w:numPr>
              <w:spacing w:before="0" w:line="240" w:lineRule="auto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Structures and economics</w:t>
            </w:r>
          </w:p>
          <w:p w14:paraId="020224BB" w14:textId="77777777" w:rsidR="00D05B6F" w:rsidRDefault="00D05B6F" w:rsidP="00D05B6F">
            <w:pPr>
              <w:pStyle w:val="Body"/>
              <w:numPr>
                <w:ilvl w:val="0"/>
                <w:numId w:val="13"/>
              </w:numPr>
              <w:spacing w:before="0" w:line="240" w:lineRule="auto"/>
              <w:outlineLvl w:val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Fund raising</w:t>
            </w:r>
          </w:p>
          <w:p w14:paraId="533D9CEB" w14:textId="3600C9D3" w:rsidR="00D05B6F" w:rsidRDefault="00D05B6F" w:rsidP="00D05B6F">
            <w:pPr>
              <w:pStyle w:val="Body"/>
              <w:spacing w:before="0" w:line="240" w:lineRule="auto"/>
              <w:ind w:left="409"/>
              <w:outlineLvl w:val="2"/>
              <w:rPr>
                <w:rFonts w:ascii="Cambria" w:hAnsi="Cambria"/>
                <w:b/>
              </w:rPr>
            </w:pPr>
          </w:p>
        </w:tc>
        <w:tc>
          <w:tcPr>
            <w:tcW w:w="3192" w:type="dxa"/>
          </w:tcPr>
          <w:p w14:paraId="6AA8DD8C" w14:textId="46609FDC" w:rsidR="00D05B6F" w:rsidRDefault="00D05B6F" w:rsidP="00D05B6F">
            <w:pPr>
              <w:pStyle w:val="Body"/>
              <w:spacing w:before="120" w:line="240" w:lineRule="auto"/>
              <w:outlineLvl w:val="2"/>
              <w:rPr>
                <w:rFonts w:asciiTheme="minorHAnsi" w:hAnsiTheme="minorHAnsi"/>
              </w:rPr>
            </w:pPr>
            <w:r w:rsidRPr="000302A9">
              <w:rPr>
                <w:rFonts w:asciiTheme="minorHAnsi" w:hAnsiTheme="minorHAnsi"/>
                <w:i/>
              </w:rPr>
              <w:t>The Advantages of the Private Equity Real Estate Fund Model</w:t>
            </w:r>
            <w:r>
              <w:rPr>
                <w:rFonts w:asciiTheme="minorHAnsi" w:hAnsiTheme="minorHAnsi"/>
              </w:rPr>
              <w:t>, Morgan Stanley Europe, 2013</w:t>
            </w:r>
          </w:p>
          <w:p w14:paraId="48873EAA" w14:textId="77777777" w:rsidR="00D05B6F" w:rsidRDefault="00D05B6F" w:rsidP="00D05B6F">
            <w:pPr>
              <w:pStyle w:val="Body"/>
              <w:spacing w:before="120" w:line="240" w:lineRule="auto"/>
              <w:outlineLvl w:val="2"/>
              <w:rPr>
                <w:rFonts w:asciiTheme="minorHAnsi" w:hAnsiTheme="minorHAnsi"/>
              </w:rPr>
            </w:pPr>
            <w:r w:rsidRPr="000302A9">
              <w:rPr>
                <w:rFonts w:asciiTheme="minorHAnsi" w:hAnsiTheme="minorHAnsi"/>
                <w:i/>
              </w:rPr>
              <w:t xml:space="preserve">Private Real Estate Funds, What They Are, How They </w:t>
            </w:r>
            <w:proofErr w:type="gramStart"/>
            <w:r w:rsidRPr="000302A9">
              <w:rPr>
                <w:rFonts w:asciiTheme="minorHAnsi" w:hAnsiTheme="minorHAnsi"/>
                <w:i/>
              </w:rPr>
              <w:t xml:space="preserve">Work,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Westgroup</w:t>
            </w:r>
            <w:proofErr w:type="spellEnd"/>
            <w:proofErr w:type="gramEnd"/>
          </w:p>
          <w:p w14:paraId="6D3F7882" w14:textId="46745C38" w:rsidR="00D05B6F" w:rsidRDefault="00D05B6F" w:rsidP="00D05B6F">
            <w:pPr>
              <w:pStyle w:val="Body"/>
              <w:spacing w:before="120"/>
              <w:outlineLvl w:val="2"/>
              <w:rPr>
                <w:rFonts w:asciiTheme="minorHAnsi" w:hAnsiTheme="minorHAnsi"/>
              </w:rPr>
            </w:pPr>
            <w:r w:rsidRPr="000302A9">
              <w:rPr>
                <w:rFonts w:asciiTheme="minorHAnsi" w:hAnsiTheme="minorHAnsi"/>
                <w:i/>
              </w:rPr>
              <w:t>US Core Real Estate: Past, Present and Future View</w:t>
            </w:r>
            <w:r>
              <w:rPr>
                <w:rFonts w:asciiTheme="minorHAnsi" w:hAnsiTheme="minorHAnsi"/>
              </w:rPr>
              <w:t>, MetLife</w:t>
            </w:r>
          </w:p>
          <w:p w14:paraId="1E536500" w14:textId="5B4DB8D8" w:rsidR="00D05B6F" w:rsidRDefault="00D05B6F" w:rsidP="00D05B6F">
            <w:pPr>
              <w:pStyle w:val="Body"/>
              <w:spacing w:before="120" w:line="240" w:lineRule="auto"/>
              <w:outlineLvl w:val="2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Trends in Real Estate Compensation, </w:t>
            </w:r>
            <w:proofErr w:type="spellStart"/>
            <w:proofErr w:type="gramStart"/>
            <w:r w:rsidRPr="000302A9">
              <w:rPr>
                <w:rFonts w:asciiTheme="minorHAnsi" w:hAnsiTheme="minorHAnsi"/>
              </w:rPr>
              <w:t>Schneiderman</w:t>
            </w:r>
            <w:proofErr w:type="spellEnd"/>
            <w:r w:rsidRPr="000302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,W</w:t>
            </w:r>
            <w:r w:rsidRPr="000302A9">
              <w:rPr>
                <w:rFonts w:asciiTheme="minorHAnsi" w:hAnsiTheme="minorHAnsi"/>
              </w:rPr>
              <w:t>ells</w:t>
            </w:r>
            <w:proofErr w:type="gramEnd"/>
          </w:p>
          <w:p w14:paraId="3533D915" w14:textId="4FB91D45" w:rsidR="00D05B6F" w:rsidRDefault="00D05B6F" w:rsidP="00D05B6F">
            <w:pPr>
              <w:pStyle w:val="Body"/>
              <w:spacing w:before="120" w:line="240" w:lineRule="auto"/>
              <w:outlineLvl w:val="2"/>
              <w:rPr>
                <w:rFonts w:asciiTheme="minorHAnsi" w:hAnsiTheme="minorHAnsi"/>
              </w:rPr>
            </w:pPr>
            <w:proofErr w:type="spellStart"/>
            <w:r w:rsidRPr="000302A9">
              <w:rPr>
                <w:rFonts w:asciiTheme="minorHAnsi" w:hAnsiTheme="minorHAnsi"/>
                <w:i/>
              </w:rPr>
              <w:t>Prequin</w:t>
            </w:r>
            <w:proofErr w:type="spellEnd"/>
            <w:r w:rsidRPr="000302A9">
              <w:rPr>
                <w:rFonts w:asciiTheme="minorHAnsi" w:hAnsiTheme="minorHAnsi"/>
                <w:i/>
              </w:rPr>
              <w:t xml:space="preserve"> Special Report: US PERE Fund Management Industry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Prequin</w:t>
            </w:r>
            <w:proofErr w:type="spellEnd"/>
            <w:r>
              <w:rPr>
                <w:rFonts w:asciiTheme="minorHAnsi" w:hAnsiTheme="minorHAnsi"/>
              </w:rPr>
              <w:t>, 2013</w:t>
            </w:r>
          </w:p>
          <w:p w14:paraId="0BA4C200" w14:textId="6C032237" w:rsidR="00D05B6F" w:rsidRDefault="00D05B6F" w:rsidP="00D05B6F">
            <w:pPr>
              <w:pStyle w:val="Body"/>
              <w:spacing w:before="120" w:line="240" w:lineRule="auto"/>
              <w:outlineLvl w:val="2"/>
              <w:rPr>
                <w:rFonts w:asciiTheme="minorHAnsi" w:hAnsiTheme="minorHAnsi"/>
              </w:rPr>
            </w:pPr>
            <w:r w:rsidRPr="004F2230">
              <w:rPr>
                <w:rFonts w:asciiTheme="minorHAnsi" w:hAnsiTheme="minorHAnsi"/>
                <w:i/>
              </w:rPr>
              <w:t xml:space="preserve">A Primer on Real Estate Private Equity Fund </w:t>
            </w:r>
            <w:proofErr w:type="gramStart"/>
            <w:r w:rsidRPr="004F2230">
              <w:rPr>
                <w:rFonts w:asciiTheme="minorHAnsi" w:hAnsiTheme="minorHAnsi"/>
                <w:i/>
              </w:rPr>
              <w:t>Formation</w:t>
            </w:r>
            <w:r>
              <w:rPr>
                <w:rFonts w:asciiTheme="minorHAnsi" w:hAnsiTheme="minorHAnsi"/>
              </w:rPr>
              <w:t>,  Fisher</w:t>
            </w:r>
            <w:proofErr w:type="gramEnd"/>
            <w:r>
              <w:rPr>
                <w:rFonts w:asciiTheme="minorHAnsi" w:hAnsiTheme="minorHAnsi"/>
              </w:rPr>
              <w:t xml:space="preserve"> et. al., 2010</w:t>
            </w:r>
          </w:p>
          <w:p w14:paraId="7DB9C97F" w14:textId="19CEE241" w:rsidR="00D05B6F" w:rsidRPr="000302A9" w:rsidRDefault="00D05B6F" w:rsidP="00D05B6F">
            <w:pPr>
              <w:pStyle w:val="Body"/>
              <w:spacing w:before="120" w:line="240" w:lineRule="auto"/>
              <w:outlineLvl w:val="2"/>
              <w:rPr>
                <w:rFonts w:asciiTheme="minorHAnsi" w:hAnsiTheme="minorHAnsi"/>
              </w:rPr>
            </w:pPr>
          </w:p>
        </w:tc>
      </w:tr>
      <w:tr w:rsidR="00D05B6F" w:rsidRPr="009A73AA" w14:paraId="25AC1711" w14:textId="77777777" w:rsidTr="001B228F">
        <w:tc>
          <w:tcPr>
            <w:tcW w:w="1188" w:type="dxa"/>
          </w:tcPr>
          <w:p w14:paraId="7ECC3732" w14:textId="438E50E2" w:rsidR="00D05B6F" w:rsidRPr="0068425A" w:rsidRDefault="00D05B6F" w:rsidP="00D05B6F">
            <w:pPr>
              <w:jc w:val="left"/>
              <w:rPr>
                <w:b/>
              </w:rPr>
            </w:pPr>
            <w:r w:rsidRPr="0068425A">
              <w:rPr>
                <w:b/>
              </w:rPr>
              <w:br w:type="page"/>
              <w:t>1</w:t>
            </w:r>
            <w:r w:rsidR="0068425A" w:rsidRPr="0068425A">
              <w:rPr>
                <w:b/>
              </w:rPr>
              <w:t>2</w:t>
            </w:r>
          </w:p>
          <w:p w14:paraId="321D3EA5" w14:textId="16B7D840" w:rsidR="00D05B6F" w:rsidRPr="0068425A" w:rsidRDefault="00D05B6F" w:rsidP="00D05B6F">
            <w:pPr>
              <w:jc w:val="left"/>
              <w:rPr>
                <w:b/>
              </w:rPr>
            </w:pPr>
            <w:r w:rsidRPr="0068425A">
              <w:rPr>
                <w:b/>
              </w:rPr>
              <w:t>Dec 13</w:t>
            </w:r>
          </w:p>
        </w:tc>
        <w:tc>
          <w:tcPr>
            <w:tcW w:w="5670" w:type="dxa"/>
          </w:tcPr>
          <w:p w14:paraId="202E9DD1" w14:textId="4780A3E9" w:rsidR="00D05B6F" w:rsidRDefault="00D05B6F" w:rsidP="00D05B6F">
            <w:pPr>
              <w:pStyle w:val="Body"/>
              <w:spacing w:before="120"/>
              <w:ind w:left="49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Course Review</w:t>
            </w:r>
          </w:p>
          <w:p w14:paraId="26F8FFA2" w14:textId="22E177CC" w:rsidR="00D05B6F" w:rsidRPr="002F6CCA" w:rsidRDefault="00D05B6F" w:rsidP="00D05B6F">
            <w:pPr>
              <w:pStyle w:val="Body"/>
              <w:spacing w:before="0" w:line="240" w:lineRule="auto"/>
              <w:ind w:left="403"/>
              <w:outlineLvl w:val="2"/>
              <w:rPr>
                <w:rFonts w:ascii="Cambria" w:hAnsi="Cambria"/>
              </w:rPr>
            </w:pPr>
          </w:p>
        </w:tc>
        <w:tc>
          <w:tcPr>
            <w:tcW w:w="3192" w:type="dxa"/>
          </w:tcPr>
          <w:p w14:paraId="3973AC77" w14:textId="77777777" w:rsidR="00D05B6F" w:rsidRDefault="00D05B6F" w:rsidP="00D05B6F">
            <w:pPr>
              <w:jc w:val="left"/>
            </w:pPr>
          </w:p>
        </w:tc>
      </w:tr>
      <w:tr w:rsidR="00D05B6F" w:rsidRPr="009A73AA" w14:paraId="643A71C3" w14:textId="77777777" w:rsidTr="001B228F">
        <w:tc>
          <w:tcPr>
            <w:tcW w:w="1188" w:type="dxa"/>
          </w:tcPr>
          <w:p w14:paraId="4786FBCA" w14:textId="77777777" w:rsidR="00D05B6F" w:rsidRDefault="00C24085" w:rsidP="00D05B6F">
            <w:pPr>
              <w:jc w:val="left"/>
              <w:rPr>
                <w:b/>
              </w:rPr>
            </w:pPr>
            <w:r>
              <w:rPr>
                <w:b/>
              </w:rPr>
              <w:t>Monday</w:t>
            </w:r>
          </w:p>
          <w:p w14:paraId="534309FA" w14:textId="1BFEC72D" w:rsidR="00C24085" w:rsidRPr="0068425A" w:rsidRDefault="00C24085" w:rsidP="00D05B6F">
            <w:pPr>
              <w:jc w:val="left"/>
              <w:rPr>
                <w:b/>
              </w:rPr>
            </w:pPr>
            <w:r>
              <w:rPr>
                <w:b/>
              </w:rPr>
              <w:t>Dec 19</w:t>
            </w:r>
          </w:p>
        </w:tc>
        <w:tc>
          <w:tcPr>
            <w:tcW w:w="5670" w:type="dxa"/>
          </w:tcPr>
          <w:p w14:paraId="4DE2A758" w14:textId="2D8E1C31" w:rsidR="00D05B6F" w:rsidRDefault="00C24085" w:rsidP="00D05B6F">
            <w:pPr>
              <w:pStyle w:val="Body"/>
              <w:spacing w:before="120"/>
              <w:ind w:left="49"/>
              <w:outlineLvl w:val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2:00 pm B8333 </w:t>
            </w:r>
            <w:r w:rsidR="00D05B6F">
              <w:rPr>
                <w:rFonts w:ascii="Cambria" w:hAnsi="Cambria"/>
                <w:b/>
              </w:rPr>
              <w:t>Final Exam</w:t>
            </w:r>
          </w:p>
        </w:tc>
        <w:tc>
          <w:tcPr>
            <w:tcW w:w="3192" w:type="dxa"/>
          </w:tcPr>
          <w:p w14:paraId="0B3AA78D" w14:textId="77777777" w:rsidR="00D05B6F" w:rsidRDefault="00D05B6F" w:rsidP="00D05B6F">
            <w:pPr>
              <w:jc w:val="left"/>
            </w:pPr>
          </w:p>
        </w:tc>
      </w:tr>
    </w:tbl>
    <w:p w14:paraId="10D8DD81" w14:textId="0D57CA4D" w:rsidR="00FF73A1" w:rsidRPr="00D123D5" w:rsidRDefault="00FF73A1" w:rsidP="00A84C9E"/>
    <w:sectPr w:rsidR="00FF73A1" w:rsidRPr="00D123D5" w:rsidSect="00C217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72C"/>
    <w:multiLevelType w:val="hybridMultilevel"/>
    <w:tmpl w:val="171C0D7A"/>
    <w:lvl w:ilvl="0" w:tplc="04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" w15:restartNumberingAfterBreak="0">
    <w:nsid w:val="09703C4D"/>
    <w:multiLevelType w:val="hybridMultilevel"/>
    <w:tmpl w:val="49908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949"/>
    <w:multiLevelType w:val="hybridMultilevel"/>
    <w:tmpl w:val="71AEC50E"/>
    <w:lvl w:ilvl="0" w:tplc="04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3" w15:restartNumberingAfterBreak="0">
    <w:nsid w:val="152A0FF8"/>
    <w:multiLevelType w:val="hybridMultilevel"/>
    <w:tmpl w:val="4AF87E64"/>
    <w:lvl w:ilvl="0" w:tplc="39DC40C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4065"/>
    <w:multiLevelType w:val="hybridMultilevel"/>
    <w:tmpl w:val="5530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529F8"/>
    <w:multiLevelType w:val="hybridMultilevel"/>
    <w:tmpl w:val="7EDAE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B00D5"/>
    <w:multiLevelType w:val="hybridMultilevel"/>
    <w:tmpl w:val="47EED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BF679C"/>
    <w:multiLevelType w:val="hybridMultilevel"/>
    <w:tmpl w:val="2C5C2CE6"/>
    <w:lvl w:ilvl="0" w:tplc="04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8" w15:restartNumberingAfterBreak="0">
    <w:nsid w:val="1C7D2204"/>
    <w:multiLevelType w:val="hybridMultilevel"/>
    <w:tmpl w:val="722E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73446"/>
    <w:multiLevelType w:val="hybridMultilevel"/>
    <w:tmpl w:val="29FC335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C4F6E5F"/>
    <w:multiLevelType w:val="hybridMultilevel"/>
    <w:tmpl w:val="20F2416E"/>
    <w:lvl w:ilvl="0" w:tplc="04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1" w15:restartNumberingAfterBreak="0">
    <w:nsid w:val="3F35090D"/>
    <w:multiLevelType w:val="hybridMultilevel"/>
    <w:tmpl w:val="C0B46004"/>
    <w:lvl w:ilvl="0" w:tplc="04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2" w15:restartNumberingAfterBreak="0">
    <w:nsid w:val="4C4A6B7E"/>
    <w:multiLevelType w:val="hybridMultilevel"/>
    <w:tmpl w:val="11A6685C"/>
    <w:lvl w:ilvl="0" w:tplc="04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3" w15:restartNumberingAfterBreak="0">
    <w:nsid w:val="4FE30F5E"/>
    <w:multiLevelType w:val="hybridMultilevel"/>
    <w:tmpl w:val="5E404EBC"/>
    <w:lvl w:ilvl="0" w:tplc="04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4" w15:restartNumberingAfterBreak="0">
    <w:nsid w:val="5DCF1D13"/>
    <w:multiLevelType w:val="hybridMultilevel"/>
    <w:tmpl w:val="51C09768"/>
    <w:lvl w:ilvl="0" w:tplc="04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5" w15:restartNumberingAfterBreak="0">
    <w:nsid w:val="62564CFA"/>
    <w:multiLevelType w:val="hybridMultilevel"/>
    <w:tmpl w:val="97CE20DE"/>
    <w:lvl w:ilvl="0" w:tplc="04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6" w15:restartNumberingAfterBreak="0">
    <w:nsid w:val="6FF26A18"/>
    <w:multiLevelType w:val="hybridMultilevel"/>
    <w:tmpl w:val="F2E26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A03AA0"/>
    <w:multiLevelType w:val="hybridMultilevel"/>
    <w:tmpl w:val="BA8A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A780C"/>
    <w:multiLevelType w:val="hybridMultilevel"/>
    <w:tmpl w:val="87345F5A"/>
    <w:lvl w:ilvl="0" w:tplc="04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9" w15:restartNumberingAfterBreak="0">
    <w:nsid w:val="74AD748B"/>
    <w:multiLevelType w:val="hybridMultilevel"/>
    <w:tmpl w:val="933E154C"/>
    <w:lvl w:ilvl="0" w:tplc="04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0" w15:restartNumberingAfterBreak="0">
    <w:nsid w:val="76FA3585"/>
    <w:multiLevelType w:val="hybridMultilevel"/>
    <w:tmpl w:val="F7087312"/>
    <w:lvl w:ilvl="0" w:tplc="04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7"/>
  </w:num>
  <w:num w:numId="5">
    <w:abstractNumId w:val="15"/>
  </w:num>
  <w:num w:numId="6">
    <w:abstractNumId w:val="18"/>
  </w:num>
  <w:num w:numId="7">
    <w:abstractNumId w:val="12"/>
  </w:num>
  <w:num w:numId="8">
    <w:abstractNumId w:val="19"/>
  </w:num>
  <w:num w:numId="9">
    <w:abstractNumId w:val="11"/>
  </w:num>
  <w:num w:numId="10">
    <w:abstractNumId w:val="13"/>
  </w:num>
  <w:num w:numId="11">
    <w:abstractNumId w:val="20"/>
  </w:num>
  <w:num w:numId="12">
    <w:abstractNumId w:val="2"/>
  </w:num>
  <w:num w:numId="13">
    <w:abstractNumId w:val="7"/>
  </w:num>
  <w:num w:numId="14">
    <w:abstractNumId w:val="0"/>
  </w:num>
  <w:num w:numId="15">
    <w:abstractNumId w:val="10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3"/>
    <w:rsid w:val="000302A9"/>
    <w:rsid w:val="000459A3"/>
    <w:rsid w:val="00056E0C"/>
    <w:rsid w:val="000B2576"/>
    <w:rsid w:val="000B4736"/>
    <w:rsid w:val="000C0764"/>
    <w:rsid w:val="000F025E"/>
    <w:rsid w:val="00127B76"/>
    <w:rsid w:val="00130941"/>
    <w:rsid w:val="0014477A"/>
    <w:rsid w:val="001A57E6"/>
    <w:rsid w:val="001B228F"/>
    <w:rsid w:val="001E6504"/>
    <w:rsid w:val="0020506A"/>
    <w:rsid w:val="00206A33"/>
    <w:rsid w:val="0027448C"/>
    <w:rsid w:val="00286DAC"/>
    <w:rsid w:val="00292417"/>
    <w:rsid w:val="002979E6"/>
    <w:rsid w:val="002E0F43"/>
    <w:rsid w:val="002F6CCA"/>
    <w:rsid w:val="002F77BF"/>
    <w:rsid w:val="00305C60"/>
    <w:rsid w:val="00330EED"/>
    <w:rsid w:val="00337568"/>
    <w:rsid w:val="00356486"/>
    <w:rsid w:val="0038645C"/>
    <w:rsid w:val="00386EB9"/>
    <w:rsid w:val="003A3B83"/>
    <w:rsid w:val="003B6C67"/>
    <w:rsid w:val="003C2AFC"/>
    <w:rsid w:val="003E236F"/>
    <w:rsid w:val="003F6148"/>
    <w:rsid w:val="0040750B"/>
    <w:rsid w:val="00412ADA"/>
    <w:rsid w:val="0044455E"/>
    <w:rsid w:val="004614D7"/>
    <w:rsid w:val="004826B2"/>
    <w:rsid w:val="00491CB9"/>
    <w:rsid w:val="004C5EC9"/>
    <w:rsid w:val="004F01EA"/>
    <w:rsid w:val="004F2230"/>
    <w:rsid w:val="00537CD0"/>
    <w:rsid w:val="005432AF"/>
    <w:rsid w:val="00556E98"/>
    <w:rsid w:val="00570B12"/>
    <w:rsid w:val="00592D5B"/>
    <w:rsid w:val="005B298B"/>
    <w:rsid w:val="005C36D0"/>
    <w:rsid w:val="005C4E6A"/>
    <w:rsid w:val="005F726D"/>
    <w:rsid w:val="0061469B"/>
    <w:rsid w:val="00627BC5"/>
    <w:rsid w:val="00635430"/>
    <w:rsid w:val="0068425A"/>
    <w:rsid w:val="006A4452"/>
    <w:rsid w:val="006F0F8D"/>
    <w:rsid w:val="007678AA"/>
    <w:rsid w:val="00801C98"/>
    <w:rsid w:val="0080239E"/>
    <w:rsid w:val="00836A43"/>
    <w:rsid w:val="00854FB9"/>
    <w:rsid w:val="00865D09"/>
    <w:rsid w:val="00895E27"/>
    <w:rsid w:val="008A78C6"/>
    <w:rsid w:val="008B4231"/>
    <w:rsid w:val="008E16FA"/>
    <w:rsid w:val="009106C6"/>
    <w:rsid w:val="00916F3A"/>
    <w:rsid w:val="0095565F"/>
    <w:rsid w:val="009A73AA"/>
    <w:rsid w:val="009B2BA5"/>
    <w:rsid w:val="009D487B"/>
    <w:rsid w:val="009F4490"/>
    <w:rsid w:val="00A00570"/>
    <w:rsid w:val="00A2793E"/>
    <w:rsid w:val="00A32553"/>
    <w:rsid w:val="00A52461"/>
    <w:rsid w:val="00A616E6"/>
    <w:rsid w:val="00A70165"/>
    <w:rsid w:val="00A83396"/>
    <w:rsid w:val="00A84C9E"/>
    <w:rsid w:val="00A873DA"/>
    <w:rsid w:val="00B16AFE"/>
    <w:rsid w:val="00B44AE4"/>
    <w:rsid w:val="00B505F4"/>
    <w:rsid w:val="00B5173A"/>
    <w:rsid w:val="00B7379C"/>
    <w:rsid w:val="00B84738"/>
    <w:rsid w:val="00B9146D"/>
    <w:rsid w:val="00B9512F"/>
    <w:rsid w:val="00BF26F8"/>
    <w:rsid w:val="00C015EE"/>
    <w:rsid w:val="00C217F3"/>
    <w:rsid w:val="00C24085"/>
    <w:rsid w:val="00C55315"/>
    <w:rsid w:val="00C81D93"/>
    <w:rsid w:val="00CC225D"/>
    <w:rsid w:val="00CD036F"/>
    <w:rsid w:val="00CE6EAE"/>
    <w:rsid w:val="00D05B6F"/>
    <w:rsid w:val="00D123D5"/>
    <w:rsid w:val="00D13788"/>
    <w:rsid w:val="00D20D61"/>
    <w:rsid w:val="00D3328A"/>
    <w:rsid w:val="00D43610"/>
    <w:rsid w:val="00D85BFD"/>
    <w:rsid w:val="00D93005"/>
    <w:rsid w:val="00D93676"/>
    <w:rsid w:val="00D96578"/>
    <w:rsid w:val="00DA2FFC"/>
    <w:rsid w:val="00DB3101"/>
    <w:rsid w:val="00DC393F"/>
    <w:rsid w:val="00DD04B6"/>
    <w:rsid w:val="00DD7494"/>
    <w:rsid w:val="00DF27F0"/>
    <w:rsid w:val="00DF3761"/>
    <w:rsid w:val="00E33A02"/>
    <w:rsid w:val="00E77E59"/>
    <w:rsid w:val="00EE34D1"/>
    <w:rsid w:val="00EF02FD"/>
    <w:rsid w:val="00F11742"/>
    <w:rsid w:val="00F35EE7"/>
    <w:rsid w:val="00F4756D"/>
    <w:rsid w:val="00F52E71"/>
    <w:rsid w:val="00F544F2"/>
    <w:rsid w:val="00F751E0"/>
    <w:rsid w:val="00F7740A"/>
    <w:rsid w:val="00F90F1D"/>
    <w:rsid w:val="00FC5D1A"/>
    <w:rsid w:val="00FD24CD"/>
    <w:rsid w:val="00FE3374"/>
    <w:rsid w:val="00FF4D71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30F8F7"/>
  <w15:docId w15:val="{DD677E56-ECC7-4488-85C8-A128EB49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4C9E"/>
    <w:pPr>
      <w:spacing w:after="24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E6A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578"/>
    <w:pPr>
      <w:keepNext/>
      <w:keepLines/>
      <w:spacing w:before="120" w:after="60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E6A"/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96578"/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123D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123D5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40"/>
      <w:szCs w:val="40"/>
      <w:lang w:eastAsia="en-US"/>
    </w:rPr>
  </w:style>
  <w:style w:type="paragraph" w:styleId="ListParagraph">
    <w:name w:val="List Paragraph"/>
    <w:basedOn w:val="Normal"/>
    <w:uiPriority w:val="34"/>
    <w:qFormat/>
    <w:rsid w:val="00D96578"/>
    <w:pPr>
      <w:numPr>
        <w:numId w:val="2"/>
      </w:numPr>
      <w:spacing w:after="0"/>
      <w:contextualSpacing/>
    </w:pPr>
    <w:rPr>
      <w:rFonts w:cs="Arial"/>
      <w:lang w:eastAsia="ja-JP"/>
    </w:rPr>
  </w:style>
  <w:style w:type="paragraph" w:customStyle="1" w:styleId="Subject">
    <w:name w:val="Subject"/>
    <w:next w:val="Body"/>
    <w:rsid w:val="00FF73A1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  <w:lang w:eastAsia="en-US"/>
    </w:rPr>
  </w:style>
  <w:style w:type="paragraph" w:customStyle="1" w:styleId="Body">
    <w:name w:val="Body"/>
    <w:rsid w:val="00FF73A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US"/>
    </w:rPr>
  </w:style>
  <w:style w:type="table" w:styleId="TableGrid">
    <w:name w:val="Table Grid"/>
    <w:basedOn w:val="TableNormal"/>
    <w:uiPriority w:val="59"/>
    <w:rsid w:val="009A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2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8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F0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pers.ssrn.com/sol3/papers.cfm?abstract_id=24259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5FD6-866E-49F9-A41B-AA2D91E3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Wildauer</dc:creator>
  <cp:keywords/>
  <dc:description/>
  <cp:lastModifiedBy>Bradford Wildauer</cp:lastModifiedBy>
  <cp:revision>4</cp:revision>
  <cp:lastPrinted>2015-09-07T22:45:00Z</cp:lastPrinted>
  <dcterms:created xsi:type="dcterms:W3CDTF">2016-06-28T17:21:00Z</dcterms:created>
  <dcterms:modified xsi:type="dcterms:W3CDTF">2016-06-29T16:45:00Z</dcterms:modified>
</cp:coreProperties>
</file>