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03C" w:rsidRPr="00233616" w:rsidRDefault="0044003C" w:rsidP="0044003C">
      <w:pPr>
        <w:jc w:val="center"/>
        <w:rPr>
          <w:rFonts w:cstheme="minorHAnsi"/>
          <w:b/>
          <w:bCs/>
          <w:sz w:val="28"/>
          <w:szCs w:val="28"/>
        </w:rPr>
      </w:pPr>
      <w:r w:rsidRPr="00233616">
        <w:rPr>
          <w:rFonts w:cstheme="minorHAnsi"/>
          <w:b/>
          <w:bCs/>
          <w:sz w:val="28"/>
          <w:szCs w:val="28"/>
        </w:rPr>
        <w:t xml:space="preserve">B8331 MBA Real Estate Finance </w:t>
      </w:r>
    </w:p>
    <w:p w:rsidR="00535F4E" w:rsidRDefault="008F3CA5" w:rsidP="00535F4E">
      <w:pPr>
        <w:jc w:val="center"/>
        <w:rPr>
          <w:b/>
          <w:sz w:val="28"/>
          <w:szCs w:val="28"/>
        </w:rPr>
      </w:pPr>
      <w:r>
        <w:rPr>
          <w:b/>
          <w:sz w:val="28"/>
          <w:szCs w:val="28"/>
        </w:rPr>
        <w:t>FALL 2021</w:t>
      </w:r>
    </w:p>
    <w:p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10"/>
      </w:tblGrid>
      <w:tr w:rsidR="00A636EF" w:rsidRPr="006575ED" w:rsidTr="00314DAE">
        <w:tc>
          <w:tcPr>
            <w:tcW w:w="6480" w:type="dxa"/>
          </w:tcPr>
          <w:p w:rsidR="00A636EF" w:rsidRPr="006575ED" w:rsidRDefault="00A636EF" w:rsidP="00A636EF">
            <w:pPr>
              <w:rPr>
                <w:b/>
              </w:rPr>
            </w:pPr>
            <w:r w:rsidRPr="006575ED">
              <w:rPr>
                <w:b/>
              </w:rPr>
              <w:t xml:space="preserve">PROFESSOR </w:t>
            </w:r>
            <w:r w:rsidR="0044003C">
              <w:rPr>
                <w:b/>
              </w:rPr>
              <w:t>STIJN VAN NIEUWERBURGH</w:t>
            </w:r>
          </w:p>
          <w:p w:rsidR="00314DAE" w:rsidRPr="002C6255" w:rsidRDefault="00314DAE" w:rsidP="00314DAE">
            <w:pPr>
              <w:tabs>
                <w:tab w:val="right" w:pos="9360"/>
              </w:tabs>
              <w:rPr>
                <w:i/>
              </w:rPr>
            </w:pPr>
            <w:r>
              <w:rPr>
                <w:i/>
              </w:rPr>
              <w:t>Earle W. Kazis and Benjamin Schore</w:t>
            </w:r>
            <w:r w:rsidRPr="002C6255">
              <w:rPr>
                <w:i/>
              </w:rPr>
              <w:t xml:space="preserve"> Prof</w:t>
            </w:r>
            <w:r>
              <w:rPr>
                <w:i/>
              </w:rPr>
              <w:t>essor of Real Estate</w:t>
            </w:r>
          </w:p>
          <w:p w:rsidR="00A636EF" w:rsidRPr="006575ED" w:rsidRDefault="00A636EF" w:rsidP="00A636EF">
            <w:r w:rsidRPr="006575ED">
              <w:t>Location:</w:t>
            </w:r>
            <w:r w:rsidR="0044003C">
              <w:t xml:space="preserve"> Uris Hall, room 809</w:t>
            </w:r>
          </w:p>
          <w:p w:rsidR="00A636EF" w:rsidRPr="006575ED" w:rsidRDefault="00A636EF" w:rsidP="00A636EF">
            <w:r w:rsidRPr="006575ED">
              <w:t xml:space="preserve">E-mail:   </w:t>
            </w:r>
            <w:hyperlink r:id="rId8" w:history="1">
              <w:r w:rsidR="0044003C" w:rsidRPr="00233616">
                <w:rPr>
                  <w:rStyle w:val="Hyperlink"/>
                  <w:rFonts w:cstheme="minorHAnsi"/>
                  <w:lang w:val="fr-FR"/>
                </w:rPr>
                <w:t>svnieuwe@gsb.columbia.edu</w:t>
              </w:r>
            </w:hyperlink>
          </w:p>
          <w:p w:rsidR="00A636EF" w:rsidRPr="00193D58" w:rsidRDefault="0044003C" w:rsidP="0044003C">
            <w:pPr>
              <w:rPr>
                <w:sz w:val="6"/>
              </w:rPr>
            </w:pPr>
            <w:r>
              <w:t>Office Hours: By appointment</w:t>
            </w:r>
          </w:p>
        </w:tc>
        <w:tc>
          <w:tcPr>
            <w:tcW w:w="4310" w:type="dxa"/>
          </w:tcPr>
          <w:p w:rsidR="0028504B" w:rsidRDefault="004657FA" w:rsidP="00015904">
            <w:pPr>
              <w:rPr>
                <w:rFonts w:cstheme="minorHAnsi"/>
              </w:rPr>
            </w:pPr>
            <w:r w:rsidRPr="004657FA">
              <w:rPr>
                <w:rFonts w:cstheme="minorHAnsi"/>
                <w:b/>
              </w:rPr>
              <w:t>TA</w:t>
            </w:r>
            <w:r>
              <w:rPr>
                <w:rFonts w:cstheme="minorHAnsi"/>
              </w:rPr>
              <w:t xml:space="preserve"> section 001: </w:t>
            </w:r>
          </w:p>
          <w:p w:rsidR="00015904" w:rsidRPr="006575ED" w:rsidRDefault="0028504B" w:rsidP="00015904">
            <w:r>
              <w:rPr>
                <w:rFonts w:cstheme="minorHAnsi"/>
              </w:rPr>
              <w:t xml:space="preserve">E-mail: </w:t>
            </w:r>
            <w:r w:rsidR="007F24D6">
              <w:rPr>
                <w:rFonts w:cstheme="minorHAnsi"/>
              </w:rPr>
              <w:br/>
            </w:r>
            <w:r w:rsidR="00015904" w:rsidRPr="006575ED">
              <w:t>Office Hours</w:t>
            </w:r>
            <w:r w:rsidR="00015904">
              <w:t xml:space="preserve">: </w:t>
            </w:r>
          </w:p>
          <w:p w:rsidR="00230BB2" w:rsidRDefault="004657FA" w:rsidP="00A636EF">
            <w:pPr>
              <w:rPr>
                <w:rFonts w:cstheme="minorHAnsi"/>
              </w:rPr>
            </w:pPr>
            <w:r w:rsidRPr="004657FA">
              <w:rPr>
                <w:rFonts w:cstheme="minorHAnsi"/>
                <w:b/>
              </w:rPr>
              <w:t>TA</w:t>
            </w:r>
            <w:r>
              <w:rPr>
                <w:rFonts w:cstheme="minorHAnsi"/>
              </w:rPr>
              <w:t xml:space="preserve"> section 002: </w:t>
            </w:r>
          </w:p>
          <w:p w:rsidR="00230BB2" w:rsidRDefault="00230BB2" w:rsidP="00A636EF">
            <w:pPr>
              <w:rPr>
                <w:rStyle w:val="Hyperlink"/>
                <w:rFonts w:cstheme="minorHAnsi"/>
              </w:rPr>
            </w:pPr>
            <w:r>
              <w:rPr>
                <w:rFonts w:cstheme="minorHAnsi"/>
              </w:rPr>
              <w:t xml:space="preserve">E-mail: </w:t>
            </w:r>
          </w:p>
          <w:p w:rsidR="00A636EF" w:rsidRPr="006575ED" w:rsidRDefault="00A636EF" w:rsidP="00A636EF">
            <w:r w:rsidRPr="006575ED">
              <w:t>Office Hours</w:t>
            </w:r>
            <w:r w:rsidR="00230BB2">
              <w:t>:</w:t>
            </w:r>
            <w:r w:rsidR="0044003C">
              <w:t xml:space="preserve"> </w:t>
            </w:r>
          </w:p>
          <w:p w:rsidR="00A636EF" w:rsidRPr="006575ED" w:rsidRDefault="00A636EF" w:rsidP="00193D58"/>
        </w:tc>
      </w:tr>
    </w:tbl>
    <w:p w:rsidR="006575ED" w:rsidRPr="006575ED" w:rsidRDefault="006575ED" w:rsidP="00A636EF">
      <w:pPr>
        <w:pBdr>
          <w:bottom w:val="single" w:sz="6" w:space="1" w:color="auto"/>
        </w:pBdr>
        <w:jc w:val="center"/>
        <w:rPr>
          <w:sz w:val="6"/>
        </w:rPr>
      </w:pPr>
    </w:p>
    <w:p w:rsidR="006575ED" w:rsidRDefault="00193D58" w:rsidP="00A57515">
      <w:pPr>
        <w:pBdr>
          <w:bottom w:val="single" w:sz="6" w:space="1" w:color="auto"/>
        </w:pBdr>
        <w:spacing w:after="0"/>
      </w:pPr>
      <w:r>
        <w:t xml:space="preserve">Communications from professor and teaching assistants about the course will take place through </w:t>
      </w:r>
      <w:r w:rsidR="00A636EF" w:rsidRPr="006575ED">
        <w:t>Canvas</w:t>
      </w:r>
      <w:r>
        <w:t>. Students should make sure they regularly check for</w:t>
      </w:r>
      <w:r w:rsidR="00FC411F" w:rsidRPr="006575ED">
        <w:t xml:space="preserve"> announcement</w:t>
      </w:r>
      <w:r>
        <w:t>s</w:t>
      </w:r>
      <w:r w:rsidR="00FC411F" w:rsidRPr="006575ED">
        <w:t xml:space="preserve"> and messaging notifications.</w:t>
      </w:r>
    </w:p>
    <w:p w:rsidR="00A57515" w:rsidRPr="006575ED" w:rsidRDefault="00A57515" w:rsidP="00A57515">
      <w:pPr>
        <w:pBdr>
          <w:bottom w:val="single" w:sz="6" w:space="1" w:color="auto"/>
        </w:pBdr>
        <w:spacing w:after="0"/>
        <w:rPr>
          <w:sz w:val="2"/>
        </w:rPr>
      </w:pPr>
    </w:p>
    <w:p w:rsidR="00FC411F" w:rsidRPr="006575ED" w:rsidRDefault="00FC411F" w:rsidP="00A636EF">
      <w:pPr>
        <w:jc w:val="center"/>
        <w:sectPr w:rsidR="00FC411F" w:rsidRPr="006575ED" w:rsidSect="00535F4E">
          <w:headerReference w:type="default" r:id="rId9"/>
          <w:footerReference w:type="default" r:id="rId10"/>
          <w:type w:val="continuous"/>
          <w:pgSz w:w="12240" w:h="15840"/>
          <w:pgMar w:top="1440" w:right="720" w:bottom="1440" w:left="720" w:header="720" w:footer="720" w:gutter="0"/>
          <w:cols w:space="720"/>
          <w:docGrid w:linePitch="360"/>
        </w:sectPr>
      </w:pPr>
    </w:p>
    <w:p w:rsidR="00FC411F" w:rsidRPr="006575ED" w:rsidRDefault="00193D58" w:rsidP="00A636EF">
      <w:pPr>
        <w:spacing w:after="0"/>
      </w:pPr>
      <w:r>
        <w:rPr>
          <w:b/>
        </w:rPr>
        <w:t xml:space="preserve">COURSE </w:t>
      </w:r>
      <w:r w:rsidR="00FC411F" w:rsidRPr="006575ED">
        <w:rPr>
          <w:b/>
        </w:rPr>
        <w:t>DESCRIPTION</w:t>
      </w:r>
    </w:p>
    <w:p w:rsidR="0044003C" w:rsidRDefault="0044003C" w:rsidP="00A636EF">
      <w:pPr>
        <w:spacing w:after="0"/>
        <w:rPr>
          <w:rFonts w:cstheme="minorHAnsi"/>
          <w:color w:val="000000"/>
        </w:rPr>
      </w:pPr>
      <w:r w:rsidRPr="00233616">
        <w:rPr>
          <w:rFonts w:cstheme="minorHAnsi"/>
          <w:color w:val="000000"/>
        </w:rPr>
        <w:t xml:space="preserve">Real estate accounts for one third of the capital assets around the world. You simply cannot ignore it in as an investor or in any business, whether the business is called real estate or not! </w:t>
      </w:r>
    </w:p>
    <w:p w:rsidR="0044003C" w:rsidRDefault="0044003C" w:rsidP="00A636EF">
      <w:pPr>
        <w:spacing w:after="0"/>
        <w:rPr>
          <w:rFonts w:cstheme="minorHAnsi"/>
          <w:color w:val="000000"/>
        </w:rPr>
      </w:pPr>
      <w:r w:rsidRPr="00233616">
        <w:rPr>
          <w:rFonts w:cstheme="minorHAnsi"/>
          <w:color w:val="000000"/>
        </w:rPr>
        <w:t xml:space="preserve">This course provides students with a comprehensive understanding of real estate valuation, cycles, markets, investments, and decision-making, using modern finance and economics tools. The bulk of the course covers income-producing (commercial) property, although we will discuss residential housing as well. </w:t>
      </w:r>
    </w:p>
    <w:p w:rsidR="0044003C" w:rsidRDefault="0044003C" w:rsidP="00A636EF">
      <w:pPr>
        <w:spacing w:after="0"/>
        <w:rPr>
          <w:rFonts w:cstheme="minorHAnsi"/>
          <w:color w:val="000000"/>
        </w:rPr>
      </w:pPr>
      <w:r w:rsidRPr="00233616">
        <w:rPr>
          <w:rFonts w:cstheme="minorHAnsi"/>
          <w:color w:val="000000"/>
        </w:rPr>
        <w:t xml:space="preserve">This course is not a hodgepodge of vaguely connected methodologies and rules of thumb about real estate. </w:t>
      </w:r>
    </w:p>
    <w:p w:rsidR="0044003C" w:rsidRDefault="0044003C" w:rsidP="00A636EF">
      <w:pPr>
        <w:spacing w:after="0"/>
        <w:rPr>
          <w:b/>
        </w:rPr>
      </w:pPr>
      <w:r w:rsidRPr="00233616">
        <w:rPr>
          <w:rFonts w:cstheme="minorHAnsi"/>
          <w:color w:val="000000"/>
        </w:rPr>
        <w:t>Rather, it uses a unified finance-based framework to answer real estate investment decision-making problems encountered in the real world. Doing so requires a good understanding of the institutional features that differentiate real estate from other asset classes and markets as well as mode</w:t>
      </w:r>
      <w:r>
        <w:rPr>
          <w:rFonts w:cstheme="minorHAnsi"/>
          <w:color w:val="000000"/>
        </w:rPr>
        <w:t>rn finance and economics tools.</w:t>
      </w:r>
      <w:r>
        <w:rPr>
          <w:rFonts w:cstheme="minorHAnsi"/>
          <w:color w:val="000000"/>
          <w:sz w:val="16"/>
          <w:szCs w:val="16"/>
        </w:rPr>
        <w:br/>
      </w:r>
      <w:r>
        <w:rPr>
          <w:rFonts w:cstheme="minorHAnsi"/>
        </w:rPr>
        <w:br/>
      </w:r>
    </w:p>
    <w:p w:rsidR="006575ED" w:rsidRPr="006575ED" w:rsidRDefault="006575ED" w:rsidP="006575ED">
      <w:pPr>
        <w:spacing w:after="0"/>
        <w:rPr>
          <w:b/>
        </w:rPr>
      </w:pPr>
      <w:r w:rsidRPr="006575ED">
        <w:rPr>
          <w:b/>
        </w:rPr>
        <w:t>COURSE MATERIALS</w:t>
      </w:r>
    </w:p>
    <w:p w:rsidR="00314DAE" w:rsidRPr="00314DAE" w:rsidRDefault="00314DAE" w:rsidP="00314DAE">
      <w:pPr>
        <w:pStyle w:val="ListParagraph"/>
        <w:numPr>
          <w:ilvl w:val="0"/>
          <w:numId w:val="14"/>
        </w:numPr>
        <w:rPr>
          <w:rFonts w:cstheme="minorHAnsi"/>
          <w:color w:val="000000"/>
        </w:rPr>
      </w:pPr>
      <w:r w:rsidRPr="00314DAE">
        <w:rPr>
          <w:rFonts w:cstheme="minorHAnsi"/>
          <w:color w:val="000000"/>
        </w:rPr>
        <w:t xml:space="preserve">Class notes, readings, and cases </w:t>
      </w:r>
      <w:r w:rsidR="008F3CA5">
        <w:rPr>
          <w:rFonts w:cstheme="minorHAnsi"/>
          <w:color w:val="000000"/>
        </w:rPr>
        <w:t>are</w:t>
      </w:r>
      <w:r w:rsidRPr="00314DAE">
        <w:rPr>
          <w:rFonts w:cstheme="minorHAnsi"/>
          <w:color w:val="000000"/>
        </w:rPr>
        <w:t xml:space="preserve"> available on Canvas.</w:t>
      </w:r>
    </w:p>
    <w:p w:rsidR="0044003C" w:rsidRPr="00314DAE" w:rsidRDefault="0044003C" w:rsidP="0044003C">
      <w:pPr>
        <w:pStyle w:val="ListParagraph"/>
        <w:numPr>
          <w:ilvl w:val="0"/>
          <w:numId w:val="14"/>
        </w:numPr>
        <w:spacing w:after="0" w:line="240" w:lineRule="auto"/>
        <w:contextualSpacing w:val="0"/>
        <w:rPr>
          <w:rFonts w:cstheme="minorHAnsi"/>
          <w:color w:val="000000"/>
        </w:rPr>
      </w:pPr>
      <w:r w:rsidRPr="00314DAE">
        <w:rPr>
          <w:rFonts w:cstheme="minorHAnsi"/>
          <w:color w:val="000000"/>
        </w:rPr>
        <w:t>Real Estate Finance and Investments: Risks and Opportunities by Peter Linneman—Strongly Recommended. This book provides background material and context for many of the concepts covered in class.</w:t>
      </w:r>
      <w:r w:rsidRPr="00314DAE">
        <w:rPr>
          <w:rFonts w:cstheme="minorHAnsi"/>
          <w:color w:val="000000"/>
        </w:rPr>
        <w:tab/>
      </w:r>
      <w:r w:rsidRPr="00314DAE">
        <w:rPr>
          <w:rFonts w:cstheme="minorHAnsi"/>
          <w:color w:val="000000"/>
        </w:rPr>
        <w:tab/>
      </w:r>
    </w:p>
    <w:p w:rsidR="0044003C" w:rsidRPr="00314DAE" w:rsidRDefault="0044003C" w:rsidP="0044003C">
      <w:pPr>
        <w:pStyle w:val="ListParagraph"/>
        <w:numPr>
          <w:ilvl w:val="0"/>
          <w:numId w:val="14"/>
        </w:numPr>
        <w:spacing w:after="0" w:line="240" w:lineRule="auto"/>
        <w:contextualSpacing w:val="0"/>
        <w:rPr>
          <w:rFonts w:cstheme="minorHAnsi"/>
          <w:color w:val="000000"/>
        </w:rPr>
      </w:pPr>
      <w:r w:rsidRPr="00314DAE">
        <w:rPr>
          <w:rFonts w:cstheme="minorHAnsi"/>
          <w:color w:val="000000"/>
        </w:rPr>
        <w:t xml:space="preserve">Commercial real estate analysis and investments by Geltner and Miller, with Clayton and Eichholtz--provides a more detailed coverage and offers more quantitative analysis. </w:t>
      </w:r>
    </w:p>
    <w:p w:rsidR="0044003C" w:rsidRDefault="0044003C" w:rsidP="00C84CD2">
      <w:pPr>
        <w:spacing w:after="0"/>
        <w:rPr>
          <w:b/>
        </w:rPr>
      </w:pPr>
    </w:p>
    <w:p w:rsidR="00314DAE" w:rsidRDefault="00314DAE">
      <w:pPr>
        <w:rPr>
          <w:b/>
        </w:rPr>
      </w:pPr>
      <w:r>
        <w:rPr>
          <w:b/>
        </w:rPr>
        <w:br w:type="page"/>
      </w:r>
    </w:p>
    <w:p w:rsidR="00C84CD2" w:rsidRPr="006575ED" w:rsidRDefault="00C84CD2" w:rsidP="00C84CD2">
      <w:pPr>
        <w:spacing w:after="0"/>
        <w:rPr>
          <w:b/>
        </w:rPr>
      </w:pPr>
      <w:r>
        <w:rPr>
          <w:b/>
        </w:rPr>
        <w:lastRenderedPageBreak/>
        <w:t>CONNECTION TO THE CORE</w:t>
      </w:r>
    </w:p>
    <w:p w:rsidR="00314DAE" w:rsidRPr="00314DAE" w:rsidRDefault="00314DAE" w:rsidP="00314DAE">
      <w:pPr>
        <w:spacing w:after="0"/>
        <w:rPr>
          <w:rFonts w:cstheme="minorHAnsi"/>
        </w:rPr>
      </w:pPr>
      <w:r w:rsidRPr="00314DAE">
        <w:rPr>
          <w:rFonts w:cstheme="minorHAnsi"/>
        </w:rPr>
        <w:t>The learning in this course will utilize, build on and extend concepts covered in the following core courses:</w:t>
      </w:r>
    </w:p>
    <w:tbl>
      <w:tblPr>
        <w:tblW w:w="9710" w:type="dxa"/>
        <w:tblCellMar>
          <w:left w:w="0" w:type="dxa"/>
          <w:right w:w="0" w:type="dxa"/>
        </w:tblCellMar>
        <w:tblLook w:val="04A0" w:firstRow="1" w:lastRow="0" w:firstColumn="1" w:lastColumn="0" w:noHBand="0" w:noVBand="1"/>
      </w:tblPr>
      <w:tblGrid>
        <w:gridCol w:w="3230"/>
        <w:gridCol w:w="6480"/>
      </w:tblGrid>
      <w:tr w:rsidR="00314DAE" w:rsidRPr="00314DAE" w:rsidTr="00314DAE">
        <w:trPr>
          <w:trHeight w:val="230"/>
        </w:trPr>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b/>
                <w:bCs/>
                <w:lang w:eastAsia="ja-JP"/>
              </w:rPr>
            </w:pPr>
            <w:r w:rsidRPr="00314DAE">
              <w:rPr>
                <w:rFonts w:cstheme="minorHAnsi"/>
                <w:b/>
                <w:bCs/>
              </w:rPr>
              <w:t>Core Course</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b/>
                <w:bCs/>
                <w:lang w:eastAsia="ja-JP"/>
              </w:rPr>
            </w:pPr>
            <w:r w:rsidRPr="00314DAE">
              <w:rPr>
                <w:rFonts w:cstheme="minorHAnsi"/>
                <w:b/>
                <w:bCs/>
              </w:rPr>
              <w:t>Connection with Core</w:t>
            </w:r>
          </w:p>
        </w:tc>
      </w:tr>
      <w:tr w:rsidR="00314DAE" w:rsidRPr="00314DAE" w:rsidTr="00314DAE">
        <w:trPr>
          <w:trHeight w:val="1429"/>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lang w:eastAsia="ja-JP"/>
              </w:rPr>
            </w:pPr>
            <w:r w:rsidRPr="00314DAE">
              <w:rPr>
                <w:rFonts w:cstheme="minorHAnsi"/>
                <w:color w:val="000000"/>
              </w:rPr>
              <w:t>Corporate</w:t>
            </w:r>
            <w:r w:rsidRPr="00314DAE">
              <w:rPr>
                <w:rFonts w:cstheme="minorHAnsi"/>
              </w:rPr>
              <w:t xml:space="preserve"> Finance</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Time value of money</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Risk</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CAPM</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Modigliani Miller Theorem</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Arbitrage pricing and the law of one price</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Efficient Markets</w:t>
            </w:r>
          </w:p>
          <w:p w:rsidR="00314DAE" w:rsidRPr="00314DAE" w:rsidRDefault="00314DAE" w:rsidP="007E4D2B">
            <w:pPr>
              <w:pStyle w:val="ListParagraph"/>
              <w:numPr>
                <w:ilvl w:val="0"/>
                <w:numId w:val="10"/>
              </w:numPr>
              <w:spacing w:after="0" w:line="240" w:lineRule="auto"/>
              <w:contextualSpacing w:val="0"/>
              <w:jc w:val="both"/>
              <w:rPr>
                <w:rFonts w:cstheme="minorHAnsi"/>
              </w:rPr>
            </w:pPr>
            <w:r w:rsidRPr="00314DAE">
              <w:rPr>
                <w:rFonts w:cstheme="minorHAnsi"/>
              </w:rPr>
              <w:t>Frictions</w:t>
            </w:r>
          </w:p>
        </w:tc>
      </w:tr>
      <w:tr w:rsidR="00314DAE" w:rsidRPr="00314DAE" w:rsidTr="00314DAE">
        <w:trPr>
          <w:trHeight w:val="692"/>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lang w:eastAsia="ja-JP"/>
              </w:rPr>
            </w:pPr>
            <w:r w:rsidRPr="00314DAE">
              <w:rPr>
                <w:rFonts w:cstheme="minorHAnsi"/>
              </w:rPr>
              <w:t>Managerial Economics</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pStyle w:val="ListParagraph"/>
              <w:numPr>
                <w:ilvl w:val="0"/>
                <w:numId w:val="11"/>
              </w:numPr>
              <w:spacing w:after="0" w:line="240" w:lineRule="auto"/>
              <w:contextualSpacing w:val="0"/>
              <w:jc w:val="both"/>
              <w:rPr>
                <w:rFonts w:cstheme="minorHAnsi"/>
              </w:rPr>
            </w:pPr>
            <w:r w:rsidRPr="00314DAE">
              <w:rPr>
                <w:rFonts w:cstheme="minorHAnsi"/>
              </w:rPr>
              <w:t>Maximization and thinking on the margin</w:t>
            </w:r>
          </w:p>
          <w:p w:rsidR="00314DAE" w:rsidRPr="00314DAE" w:rsidRDefault="00314DAE" w:rsidP="007E4D2B">
            <w:pPr>
              <w:pStyle w:val="ListParagraph"/>
              <w:numPr>
                <w:ilvl w:val="0"/>
                <w:numId w:val="11"/>
              </w:numPr>
              <w:spacing w:after="0" w:line="240" w:lineRule="auto"/>
              <w:contextualSpacing w:val="0"/>
              <w:jc w:val="both"/>
              <w:rPr>
                <w:rFonts w:cstheme="minorHAnsi"/>
              </w:rPr>
            </w:pPr>
            <w:r w:rsidRPr="00314DAE">
              <w:rPr>
                <w:rFonts w:cstheme="minorHAnsi"/>
              </w:rPr>
              <w:t>Analyzing complex decision‐making under uncertainty</w:t>
            </w:r>
          </w:p>
          <w:p w:rsidR="00314DAE" w:rsidRPr="00314DAE" w:rsidRDefault="00314DAE" w:rsidP="007E4D2B">
            <w:pPr>
              <w:pStyle w:val="ListParagraph"/>
              <w:numPr>
                <w:ilvl w:val="0"/>
                <w:numId w:val="11"/>
              </w:numPr>
              <w:spacing w:after="0" w:line="240" w:lineRule="auto"/>
              <w:contextualSpacing w:val="0"/>
              <w:jc w:val="both"/>
              <w:rPr>
                <w:rFonts w:cstheme="minorHAnsi"/>
              </w:rPr>
            </w:pPr>
            <w:r w:rsidRPr="00314DAE">
              <w:rPr>
                <w:rFonts w:cstheme="minorHAnsi"/>
              </w:rPr>
              <w:t>Understanding market competition and equilibrium thinking</w:t>
            </w:r>
          </w:p>
        </w:tc>
      </w:tr>
      <w:tr w:rsidR="00314DAE" w:rsidRPr="00314DAE" w:rsidTr="00314DAE">
        <w:trPr>
          <w:trHeight w:val="93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lang w:eastAsia="ja-JP"/>
              </w:rPr>
            </w:pPr>
            <w:r w:rsidRPr="00314DAE">
              <w:rPr>
                <w:rFonts w:cstheme="minorHAnsi"/>
              </w:rPr>
              <w:t xml:space="preserve">Managerial Statistics </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pStyle w:val="ListParagraph"/>
              <w:numPr>
                <w:ilvl w:val="0"/>
                <w:numId w:val="12"/>
              </w:numPr>
              <w:spacing w:after="0" w:line="240" w:lineRule="auto"/>
              <w:contextualSpacing w:val="0"/>
              <w:rPr>
                <w:rFonts w:cstheme="minorHAnsi"/>
              </w:rPr>
            </w:pPr>
            <w:r w:rsidRPr="00314DAE">
              <w:rPr>
                <w:rFonts w:cstheme="minorHAnsi"/>
              </w:rPr>
              <w:t>Statistics data analysis</w:t>
            </w:r>
          </w:p>
          <w:p w:rsidR="00314DAE" w:rsidRPr="00314DAE" w:rsidRDefault="00314DAE" w:rsidP="007E4D2B">
            <w:pPr>
              <w:pStyle w:val="ListParagraph"/>
              <w:numPr>
                <w:ilvl w:val="0"/>
                <w:numId w:val="12"/>
              </w:numPr>
              <w:spacing w:after="0" w:line="240" w:lineRule="auto"/>
              <w:contextualSpacing w:val="0"/>
              <w:rPr>
                <w:rFonts w:cstheme="minorHAnsi"/>
              </w:rPr>
            </w:pPr>
            <w:r w:rsidRPr="00314DAE">
              <w:rPr>
                <w:rFonts w:cstheme="minorHAnsi"/>
              </w:rPr>
              <w:t>Probability intro</w:t>
            </w:r>
          </w:p>
          <w:p w:rsidR="00314DAE" w:rsidRPr="00314DAE" w:rsidRDefault="00314DAE" w:rsidP="007E4D2B">
            <w:pPr>
              <w:pStyle w:val="ListParagraph"/>
              <w:numPr>
                <w:ilvl w:val="0"/>
                <w:numId w:val="12"/>
              </w:numPr>
              <w:spacing w:after="0" w:line="240" w:lineRule="auto"/>
              <w:contextualSpacing w:val="0"/>
              <w:rPr>
                <w:rFonts w:cstheme="minorHAnsi"/>
              </w:rPr>
            </w:pPr>
            <w:r w:rsidRPr="00314DAE">
              <w:rPr>
                <w:rFonts w:cstheme="minorHAnsi"/>
              </w:rPr>
              <w:t>Conditional probability</w:t>
            </w:r>
          </w:p>
          <w:p w:rsidR="00314DAE" w:rsidRPr="00314DAE" w:rsidRDefault="00314DAE" w:rsidP="007E4D2B">
            <w:pPr>
              <w:pStyle w:val="ListParagraph"/>
              <w:numPr>
                <w:ilvl w:val="0"/>
                <w:numId w:val="12"/>
              </w:numPr>
              <w:spacing w:after="0" w:line="240" w:lineRule="auto"/>
              <w:contextualSpacing w:val="0"/>
              <w:rPr>
                <w:rFonts w:cstheme="minorHAnsi"/>
              </w:rPr>
            </w:pPr>
            <w:r w:rsidRPr="00314DAE">
              <w:rPr>
                <w:rFonts w:cstheme="minorHAnsi"/>
              </w:rPr>
              <w:t>Modeling uncertainty</w:t>
            </w:r>
          </w:p>
        </w:tc>
      </w:tr>
      <w:tr w:rsidR="00314DAE" w:rsidRPr="00314DAE" w:rsidTr="00314DAE">
        <w:trPr>
          <w:trHeight w:val="1154"/>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rPr>
                <w:rFonts w:eastAsia="MS PGothic" w:cstheme="minorHAnsi"/>
                <w:lang w:eastAsia="ja-JP"/>
              </w:rPr>
            </w:pPr>
            <w:r w:rsidRPr="00314DAE">
              <w:rPr>
                <w:rFonts w:cstheme="minorHAnsi"/>
              </w:rPr>
              <w:t>Global Economic Environment I</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314DAE" w:rsidRPr="00314DAE" w:rsidRDefault="00314DAE" w:rsidP="007E4D2B">
            <w:pPr>
              <w:pStyle w:val="ListParagraph"/>
              <w:numPr>
                <w:ilvl w:val="0"/>
                <w:numId w:val="13"/>
              </w:numPr>
              <w:spacing w:after="0" w:line="240" w:lineRule="auto"/>
              <w:contextualSpacing w:val="0"/>
              <w:rPr>
                <w:rFonts w:cstheme="minorHAnsi"/>
              </w:rPr>
            </w:pPr>
            <w:r w:rsidRPr="00314DAE">
              <w:rPr>
                <w:rFonts w:cstheme="minorHAnsi"/>
              </w:rPr>
              <w:t>What causes inflation</w:t>
            </w:r>
          </w:p>
          <w:p w:rsidR="00314DAE" w:rsidRPr="00314DAE" w:rsidRDefault="00314DAE" w:rsidP="007E4D2B">
            <w:pPr>
              <w:pStyle w:val="ListParagraph"/>
              <w:numPr>
                <w:ilvl w:val="0"/>
                <w:numId w:val="13"/>
              </w:numPr>
              <w:spacing w:after="0" w:line="240" w:lineRule="auto"/>
              <w:contextualSpacing w:val="0"/>
              <w:rPr>
                <w:rFonts w:cstheme="minorHAnsi"/>
              </w:rPr>
            </w:pPr>
            <w:r w:rsidRPr="00314DAE">
              <w:rPr>
                <w:rFonts w:cstheme="minorHAnsi"/>
              </w:rPr>
              <w:t>What drives employment</w:t>
            </w:r>
          </w:p>
          <w:p w:rsidR="00314DAE" w:rsidRPr="00314DAE" w:rsidRDefault="00314DAE" w:rsidP="007E4D2B">
            <w:pPr>
              <w:pStyle w:val="ListParagraph"/>
              <w:numPr>
                <w:ilvl w:val="0"/>
                <w:numId w:val="13"/>
              </w:numPr>
              <w:spacing w:after="0" w:line="240" w:lineRule="auto"/>
              <w:contextualSpacing w:val="0"/>
              <w:rPr>
                <w:rFonts w:cstheme="minorHAnsi"/>
              </w:rPr>
            </w:pPr>
            <w:r w:rsidRPr="00314DAE">
              <w:rPr>
                <w:rFonts w:cstheme="minorHAnsi"/>
              </w:rPr>
              <w:t>What are the causes of business cycle</w:t>
            </w:r>
          </w:p>
          <w:p w:rsidR="00314DAE" w:rsidRPr="00314DAE" w:rsidRDefault="00314DAE" w:rsidP="007E4D2B">
            <w:pPr>
              <w:pStyle w:val="ListParagraph"/>
              <w:numPr>
                <w:ilvl w:val="0"/>
                <w:numId w:val="13"/>
              </w:numPr>
              <w:spacing w:after="0" w:line="240" w:lineRule="auto"/>
              <w:contextualSpacing w:val="0"/>
              <w:rPr>
                <w:rFonts w:cstheme="minorHAnsi"/>
              </w:rPr>
            </w:pPr>
            <w:r w:rsidRPr="00314DAE">
              <w:rPr>
                <w:rFonts w:cstheme="minorHAnsi"/>
              </w:rPr>
              <w:t>What are the effects of monetary policy</w:t>
            </w:r>
          </w:p>
          <w:p w:rsidR="00314DAE" w:rsidRPr="00314DAE" w:rsidRDefault="00314DAE" w:rsidP="007E4D2B">
            <w:pPr>
              <w:pStyle w:val="ListParagraph"/>
              <w:numPr>
                <w:ilvl w:val="0"/>
                <w:numId w:val="13"/>
              </w:numPr>
              <w:spacing w:after="0" w:line="240" w:lineRule="auto"/>
              <w:contextualSpacing w:val="0"/>
              <w:rPr>
                <w:rFonts w:cstheme="minorHAnsi"/>
              </w:rPr>
            </w:pPr>
            <w:r w:rsidRPr="00314DAE">
              <w:rPr>
                <w:rFonts w:cstheme="minorHAnsi"/>
              </w:rPr>
              <w:t>What is the role of financial markets in the economy</w:t>
            </w:r>
          </w:p>
        </w:tc>
      </w:tr>
    </w:tbl>
    <w:p w:rsidR="00314DAE" w:rsidRPr="00314DAE" w:rsidRDefault="00314DAE" w:rsidP="00314DAE">
      <w:pPr>
        <w:rPr>
          <w:rFonts w:eastAsia="MS PGothic" w:cstheme="minorHAnsi"/>
          <w:lang w:eastAsia="ja-JP"/>
        </w:rPr>
      </w:pPr>
      <w:r w:rsidRPr="00314DAE">
        <w:rPr>
          <w:rFonts w:cstheme="minorHAnsi"/>
        </w:rPr>
        <w:t>Students will be expected to have mastered these concepts and be able to apply them in the course</w:t>
      </w:r>
    </w:p>
    <w:p w:rsidR="00C84CD2" w:rsidRDefault="00C84CD2" w:rsidP="00613EF9">
      <w:pPr>
        <w:spacing w:after="0"/>
        <w:rPr>
          <w:b/>
        </w:rPr>
      </w:pPr>
    </w:p>
    <w:p w:rsidR="00613EF9" w:rsidRPr="006575ED" w:rsidRDefault="00613EF9" w:rsidP="00613EF9">
      <w:pPr>
        <w:spacing w:after="0"/>
        <w:rPr>
          <w:b/>
        </w:rPr>
      </w:pPr>
      <w:r w:rsidRPr="006575ED">
        <w:rPr>
          <w:b/>
        </w:rPr>
        <w:t>CLASSROOM NORMS AND EXPECTATIONS</w:t>
      </w:r>
    </w:p>
    <w:p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rsidR="00314DAE" w:rsidRPr="00E4027D" w:rsidRDefault="00314DAE" w:rsidP="00314DAE">
      <w:r w:rsidRPr="006575ED">
        <w:t xml:space="preserve">All of your assignment submissions are subject to the </w:t>
      </w:r>
      <w:hyperlink r:id="rId11" w:history="1">
        <w:r w:rsidRPr="006575ED">
          <w:rPr>
            <w:rStyle w:val="Hyperlink"/>
          </w:rPr>
          <w:t>CBS Honor Code</w:t>
        </w:r>
      </w:hyperlink>
      <w:r w:rsidRPr="006575ED">
        <w:t>.</w:t>
      </w:r>
      <w:r>
        <w:t xml:space="preserve"> Violations of the CBS Honor Code may lead to failing the assignment, failing the course, suspension, and/or dismissal. </w:t>
      </w:r>
      <w:r w:rsidRPr="006575ED">
        <w:t xml:space="preserve"> In order to avoid ambiguity that may lead to unintentional violations of the Honor Code, </w:t>
      </w:r>
      <w:r>
        <w:t>assignment</w:t>
      </w:r>
      <w:r w:rsidRPr="006575ED">
        <w:t xml:space="preserve"> description types have been standardized and specified below.</w:t>
      </w:r>
    </w:p>
    <w:p w:rsidR="00E4027D" w:rsidRPr="00233616" w:rsidRDefault="00E4027D" w:rsidP="00E4027D">
      <w:pPr>
        <w:rPr>
          <w:rFonts w:cstheme="minorHAnsi"/>
          <w:color w:val="000000"/>
        </w:rPr>
      </w:pPr>
      <w:r w:rsidRPr="00233616">
        <w:rPr>
          <w:rFonts w:cstheme="minorHAnsi"/>
          <w:color w:val="000000"/>
        </w:rPr>
        <w:t xml:space="preserve">Class participation counts for 5% of your course grade. Please don’t be shy --Ask questions to clarify what we are discussing or to bring a different perspective in class. The course is cumulative, so being lost gets quite costly very quickly. Constructive comments in class will increase the participation points. Naturally, consistently bad or irrelevant participation will decrease the participation points. </w:t>
      </w:r>
      <w:r w:rsidR="00314DAE">
        <w:rPr>
          <w:rFonts w:cstheme="minorHAnsi"/>
          <w:color w:val="000000"/>
        </w:rPr>
        <w:t>Unexcused a</w:t>
      </w:r>
      <w:r w:rsidRPr="00233616">
        <w:rPr>
          <w:rFonts w:cstheme="minorHAnsi"/>
          <w:color w:val="000000"/>
        </w:rPr>
        <w:t xml:space="preserve">bsences or late arrivals will be considered as a factor in class participation. </w:t>
      </w:r>
    </w:p>
    <w:p w:rsidR="00314DAE" w:rsidRDefault="00314DAE">
      <w:pPr>
        <w:rPr>
          <w:b/>
        </w:rPr>
      </w:pPr>
      <w:r>
        <w:rPr>
          <w:b/>
        </w:rPr>
        <w:br w:type="page"/>
      </w:r>
    </w:p>
    <w:p w:rsidR="006575ED" w:rsidRPr="006575ED" w:rsidRDefault="00C84CD2" w:rsidP="00C84CD2">
      <w:pPr>
        <w:rPr>
          <w:b/>
        </w:rPr>
      </w:pPr>
      <w:r>
        <w:rPr>
          <w:b/>
        </w:rPr>
        <w:lastRenderedPageBreak/>
        <w:t>C</w:t>
      </w:r>
      <w:r w:rsidR="006575ED" w:rsidRPr="006575ED">
        <w:rPr>
          <w:b/>
        </w:rPr>
        <w:t>OURSE ROADMAP/SCHEDULE</w:t>
      </w:r>
    </w:p>
    <w:tbl>
      <w:tblPr>
        <w:tblStyle w:val="TableGrid"/>
        <w:tblW w:w="10080" w:type="dxa"/>
        <w:tblInd w:w="175" w:type="dxa"/>
        <w:tblLook w:val="04A0" w:firstRow="1" w:lastRow="0" w:firstColumn="1" w:lastColumn="0" w:noHBand="0" w:noVBand="1"/>
      </w:tblPr>
      <w:tblGrid>
        <w:gridCol w:w="2160"/>
        <w:gridCol w:w="5580"/>
        <w:gridCol w:w="2340"/>
      </w:tblGrid>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vAlign w:val="center"/>
            <w:hideMark/>
          </w:tcPr>
          <w:p w:rsidR="00930E8F" w:rsidRPr="00930E8F" w:rsidRDefault="00930E8F" w:rsidP="00193D58">
            <w:pPr>
              <w:tabs>
                <w:tab w:val="left" w:pos="-1022"/>
                <w:tab w:val="left" w:pos="-720"/>
                <w:tab w:val="left" w:pos="702"/>
                <w:tab w:val="left" w:pos="1170"/>
              </w:tabs>
              <w:jc w:val="center"/>
              <w:rPr>
                <w:rFonts w:cstheme="minorHAnsi"/>
                <w:b/>
              </w:rPr>
            </w:pPr>
            <w:r w:rsidRPr="00930E8F">
              <w:rPr>
                <w:rFonts w:cstheme="minorHAnsi"/>
                <w:b/>
              </w:rPr>
              <w:t>Session</w:t>
            </w:r>
          </w:p>
        </w:tc>
        <w:tc>
          <w:tcPr>
            <w:tcW w:w="5580" w:type="dxa"/>
            <w:tcBorders>
              <w:top w:val="single" w:sz="4" w:space="0" w:color="auto"/>
              <w:left w:val="single" w:sz="4" w:space="0" w:color="auto"/>
              <w:bottom w:val="single" w:sz="4" w:space="0" w:color="auto"/>
              <w:right w:val="single" w:sz="4" w:space="0" w:color="auto"/>
            </w:tcBorders>
            <w:vAlign w:val="center"/>
            <w:hideMark/>
          </w:tcPr>
          <w:p w:rsidR="00930E8F" w:rsidRPr="00930E8F" w:rsidRDefault="00E76A20" w:rsidP="00193D58">
            <w:pPr>
              <w:tabs>
                <w:tab w:val="left" w:pos="-1022"/>
                <w:tab w:val="left" w:pos="-720"/>
                <w:tab w:val="left" w:pos="702"/>
                <w:tab w:val="left" w:pos="1170"/>
              </w:tabs>
              <w:jc w:val="center"/>
              <w:rPr>
                <w:rFonts w:cstheme="minorHAnsi"/>
                <w:b/>
              </w:rPr>
            </w:pPr>
            <w:r>
              <w:rPr>
                <w:rFonts w:cstheme="minorHAnsi"/>
                <w:b/>
              </w:rPr>
              <w:t>Topic(s)</w:t>
            </w:r>
          </w:p>
        </w:tc>
        <w:tc>
          <w:tcPr>
            <w:tcW w:w="2340" w:type="dxa"/>
            <w:tcBorders>
              <w:top w:val="single" w:sz="4" w:space="0" w:color="auto"/>
              <w:left w:val="single" w:sz="4" w:space="0" w:color="auto"/>
              <w:bottom w:val="single" w:sz="4" w:space="0" w:color="auto"/>
              <w:right w:val="single" w:sz="4" w:space="0" w:color="auto"/>
            </w:tcBorders>
            <w:vAlign w:val="center"/>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 xml:space="preserve">Assignments Due </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1</w:t>
            </w:r>
          </w:p>
          <w:p w:rsidR="00930E8F" w:rsidRPr="00930E8F" w:rsidRDefault="000E3CAE" w:rsidP="00E4027D">
            <w:pPr>
              <w:tabs>
                <w:tab w:val="left" w:pos="-1022"/>
                <w:tab w:val="left" w:pos="-720"/>
                <w:tab w:val="left" w:pos="702"/>
                <w:tab w:val="left" w:pos="1170"/>
              </w:tabs>
              <w:jc w:val="center"/>
              <w:rPr>
                <w:rFonts w:cstheme="minorHAnsi"/>
                <w:b/>
              </w:rPr>
            </w:pPr>
            <w:r>
              <w:rPr>
                <w:rFonts w:cstheme="minorHAnsi"/>
              </w:rPr>
              <w:t>09/08</w:t>
            </w:r>
          </w:p>
        </w:tc>
        <w:tc>
          <w:tcPr>
            <w:tcW w:w="558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E4027D">
            <w:pPr>
              <w:tabs>
                <w:tab w:val="left" w:pos="-1440"/>
              </w:tabs>
              <w:rPr>
                <w:rFonts w:cstheme="minorHAnsi"/>
              </w:rPr>
            </w:pPr>
            <w:r w:rsidRPr="00930E8F">
              <w:rPr>
                <w:rFonts w:cstheme="minorHAnsi"/>
              </w:rPr>
              <w:t>Course Overview and Requirements</w:t>
            </w:r>
          </w:p>
          <w:p w:rsidR="00930E8F" w:rsidRPr="00930E8F" w:rsidRDefault="00930E8F" w:rsidP="00507B26">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rPr>
                <w:rFonts w:cstheme="minorHAnsi"/>
                <w:b/>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2</w:t>
            </w:r>
          </w:p>
          <w:p w:rsidR="00930E8F" w:rsidRPr="00930E8F" w:rsidRDefault="000E3CAE" w:rsidP="00FC06E8">
            <w:pPr>
              <w:tabs>
                <w:tab w:val="left" w:pos="-1022"/>
                <w:tab w:val="left" w:pos="-720"/>
                <w:tab w:val="left" w:pos="702"/>
                <w:tab w:val="left" w:pos="1170"/>
              </w:tabs>
              <w:jc w:val="center"/>
              <w:rPr>
                <w:rFonts w:cstheme="minorHAnsi"/>
                <w:b/>
              </w:rPr>
            </w:pPr>
            <w:r>
              <w:rPr>
                <w:rFonts w:cstheme="minorHAnsi"/>
              </w:rPr>
              <w:t>09/10</w:t>
            </w:r>
            <w:r w:rsidR="007562E4">
              <w:rPr>
                <w:rFonts w:cstheme="minorHAnsi"/>
              </w:rPr>
              <w:t xml:space="preserve"> </w:t>
            </w:r>
            <w:r w:rsidR="007562E4" w:rsidRPr="007562E4">
              <w:rPr>
                <w:rFonts w:cstheme="minorHAnsi"/>
                <w:color w:val="FF0000"/>
              </w:rPr>
              <w:t>[F</w:t>
            </w:r>
            <w:r w:rsidR="007562E4">
              <w:rPr>
                <w:rFonts w:cstheme="minorHAnsi"/>
                <w:color w:val="FF0000"/>
              </w:rPr>
              <w:t>riday</w:t>
            </w:r>
            <w:bookmarkStart w:id="0" w:name="_GoBack"/>
            <w:bookmarkEnd w:id="0"/>
            <w:r w:rsidR="007562E4" w:rsidRPr="007562E4">
              <w:rPr>
                <w:rFonts w:cstheme="minorHAnsi"/>
                <w:color w:val="FF0000"/>
              </w:rPr>
              <w:t>]</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630F44">
            <w:pPr>
              <w:tabs>
                <w:tab w:val="left" w:pos="-1440"/>
              </w:tabs>
              <w:rPr>
                <w:rFonts w:cstheme="minorHAnsi"/>
              </w:rPr>
            </w:pPr>
            <w:r w:rsidRPr="00930E8F">
              <w:rPr>
                <w:rFonts w:cstheme="minorHAnsi"/>
              </w:rPr>
              <w:t>Introduction to Pro forma, Risk and Leases</w:t>
            </w:r>
          </w:p>
          <w:p w:rsidR="00930E8F" w:rsidRPr="00930E8F" w:rsidRDefault="00930E8F" w:rsidP="00630F44">
            <w:pPr>
              <w:tabs>
                <w:tab w:val="left" w:pos="-1022"/>
                <w:tab w:val="left" w:pos="-720"/>
                <w:tab w:val="left" w:pos="702"/>
                <w:tab w:val="left" w:pos="1170"/>
              </w:tabs>
              <w:rPr>
                <w:rFonts w:cstheme="minorHAnsi"/>
                <w:b/>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613EF9">
            <w:pPr>
              <w:tabs>
                <w:tab w:val="left" w:pos="-1022"/>
                <w:tab w:val="left" w:pos="-720"/>
                <w:tab w:val="left" w:pos="702"/>
                <w:tab w:val="left" w:pos="1170"/>
              </w:tabs>
              <w:rPr>
                <w:rFonts w:cstheme="minorHAnsi"/>
                <w:b/>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3</w:t>
            </w:r>
          </w:p>
          <w:p w:rsidR="00930E8F" w:rsidRPr="00930E8F" w:rsidRDefault="000E3CAE" w:rsidP="00E4027D">
            <w:pPr>
              <w:tabs>
                <w:tab w:val="left" w:pos="-1022"/>
                <w:tab w:val="left" w:pos="-720"/>
                <w:tab w:val="left" w:pos="702"/>
                <w:tab w:val="left" w:pos="1170"/>
              </w:tabs>
              <w:jc w:val="center"/>
              <w:rPr>
                <w:rFonts w:cstheme="minorHAnsi"/>
                <w:b/>
              </w:rPr>
            </w:pPr>
            <w:r>
              <w:rPr>
                <w:rFonts w:cstheme="minorHAnsi"/>
              </w:rPr>
              <w:t>09/1</w:t>
            </w:r>
            <w:r w:rsidR="007562E4">
              <w:rPr>
                <w:rFonts w:cstheme="minorHAnsi"/>
              </w:rPr>
              <w:t>3</w:t>
            </w:r>
          </w:p>
        </w:tc>
        <w:tc>
          <w:tcPr>
            <w:tcW w:w="558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30F44">
            <w:pPr>
              <w:tabs>
                <w:tab w:val="left" w:pos="-1440"/>
              </w:tabs>
              <w:rPr>
                <w:rFonts w:cstheme="minorHAnsi"/>
              </w:rPr>
            </w:pPr>
            <w:r w:rsidRPr="00930E8F">
              <w:rPr>
                <w:rFonts w:cstheme="minorHAnsi"/>
              </w:rPr>
              <w:t>Analysis of Income Producing Properties: Valuation and Cap Rates</w:t>
            </w:r>
          </w:p>
          <w:p w:rsidR="00930E8F" w:rsidRPr="00930E8F" w:rsidRDefault="00930E8F" w:rsidP="00630F44">
            <w:pPr>
              <w:tabs>
                <w:tab w:val="left" w:pos="-1022"/>
                <w:tab w:val="left" w:pos="-720"/>
                <w:tab w:val="left" w:pos="702"/>
                <w:tab w:val="left" w:pos="1170"/>
              </w:tabs>
              <w:rPr>
                <w:rFonts w:cstheme="minorHAnsi"/>
                <w:b/>
              </w:rPr>
            </w:pPr>
          </w:p>
        </w:tc>
        <w:tc>
          <w:tcPr>
            <w:tcW w:w="234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rPr>
                <w:rFonts w:cstheme="minorHAnsi"/>
                <w:b/>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4</w:t>
            </w:r>
          </w:p>
          <w:p w:rsidR="00930E8F" w:rsidRPr="00930E8F" w:rsidRDefault="000E3CAE" w:rsidP="00FC06E8">
            <w:pPr>
              <w:tabs>
                <w:tab w:val="left" w:pos="-1022"/>
                <w:tab w:val="left" w:pos="-720"/>
                <w:tab w:val="left" w:pos="702"/>
                <w:tab w:val="left" w:pos="1170"/>
              </w:tabs>
              <w:jc w:val="center"/>
              <w:rPr>
                <w:rFonts w:cstheme="minorHAnsi"/>
                <w:b/>
              </w:rPr>
            </w:pPr>
            <w:r>
              <w:rPr>
                <w:rFonts w:cstheme="minorHAnsi"/>
              </w:rPr>
              <w:t>09/1</w:t>
            </w:r>
            <w:r w:rsidR="007562E4">
              <w:rPr>
                <w:rFonts w:cstheme="minorHAnsi"/>
              </w:rPr>
              <w:t>5</w:t>
            </w:r>
          </w:p>
        </w:tc>
        <w:tc>
          <w:tcPr>
            <w:tcW w:w="558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30F44">
            <w:pPr>
              <w:tabs>
                <w:tab w:val="left" w:pos="-1440"/>
              </w:tabs>
              <w:rPr>
                <w:rFonts w:cstheme="minorHAnsi"/>
              </w:rPr>
            </w:pPr>
            <w:r w:rsidRPr="00930E8F">
              <w:rPr>
                <w:rFonts w:cstheme="minorHAnsi"/>
              </w:rPr>
              <w:t>Mortgage Mechanics and Introduction to Case 1 Part 1</w:t>
            </w:r>
          </w:p>
          <w:p w:rsidR="00930E8F" w:rsidRPr="00930E8F" w:rsidRDefault="00930E8F" w:rsidP="00507B26">
            <w:pPr>
              <w:tabs>
                <w:tab w:val="left" w:pos="-1022"/>
                <w:tab w:val="left" w:pos="-720"/>
                <w:tab w:val="left" w:pos="702"/>
                <w:tab w:val="left" w:pos="1170"/>
              </w:tabs>
              <w:rPr>
                <w:rFonts w:cstheme="minorHAnsi"/>
                <w:b/>
              </w:rPr>
            </w:pPr>
          </w:p>
        </w:tc>
        <w:tc>
          <w:tcPr>
            <w:tcW w:w="234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rPr>
                <w:rFonts w:cstheme="minorHAnsi"/>
                <w:b/>
              </w:rPr>
            </w:pPr>
            <w:r w:rsidRPr="00930E8F">
              <w:rPr>
                <w:rFonts w:cstheme="minorHAnsi"/>
                <w:b/>
              </w:rPr>
              <w:t>HW#1 Due</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13EF9">
            <w:pPr>
              <w:tabs>
                <w:tab w:val="left" w:pos="-1022"/>
                <w:tab w:val="left" w:pos="-720"/>
                <w:tab w:val="left" w:pos="702"/>
                <w:tab w:val="left" w:pos="1170"/>
              </w:tabs>
              <w:jc w:val="center"/>
              <w:rPr>
                <w:rFonts w:cstheme="minorHAnsi"/>
                <w:b/>
              </w:rPr>
            </w:pPr>
            <w:r w:rsidRPr="00930E8F">
              <w:rPr>
                <w:rFonts w:cstheme="minorHAnsi"/>
                <w:b/>
              </w:rPr>
              <w:t>5</w:t>
            </w:r>
          </w:p>
          <w:p w:rsidR="00930E8F" w:rsidRPr="00930E8F" w:rsidRDefault="000E3CAE" w:rsidP="00FC06E8">
            <w:pPr>
              <w:tabs>
                <w:tab w:val="left" w:pos="-1022"/>
                <w:tab w:val="left" w:pos="-720"/>
                <w:tab w:val="left" w:pos="702"/>
                <w:tab w:val="left" w:pos="1170"/>
              </w:tabs>
              <w:jc w:val="center"/>
              <w:rPr>
                <w:rFonts w:cstheme="minorHAnsi"/>
                <w:b/>
              </w:rPr>
            </w:pPr>
            <w:r>
              <w:rPr>
                <w:rFonts w:cstheme="minorHAnsi"/>
              </w:rPr>
              <w:t>09/2</w:t>
            </w:r>
            <w:r w:rsidR="007562E4">
              <w:rPr>
                <w:rFonts w:cstheme="minorHAnsi"/>
              </w:rPr>
              <w:t>0</w:t>
            </w:r>
          </w:p>
        </w:tc>
        <w:tc>
          <w:tcPr>
            <w:tcW w:w="5580" w:type="dxa"/>
            <w:tcBorders>
              <w:top w:val="single" w:sz="4" w:space="0" w:color="auto"/>
              <w:left w:val="single" w:sz="4" w:space="0" w:color="auto"/>
              <w:bottom w:val="single" w:sz="4" w:space="0" w:color="auto"/>
              <w:right w:val="single" w:sz="4" w:space="0" w:color="auto"/>
            </w:tcBorders>
            <w:hideMark/>
          </w:tcPr>
          <w:p w:rsidR="00930E8F" w:rsidRPr="00930E8F" w:rsidRDefault="00930E8F" w:rsidP="00630F44">
            <w:pPr>
              <w:tabs>
                <w:tab w:val="left" w:pos="-1022"/>
                <w:tab w:val="left" w:pos="-720"/>
                <w:tab w:val="left" w:pos="702"/>
                <w:tab w:val="left" w:pos="1170"/>
              </w:tabs>
              <w:rPr>
                <w:rFonts w:cstheme="minorHAnsi"/>
                <w:b/>
              </w:rPr>
            </w:pPr>
            <w:r w:rsidRPr="00930E8F">
              <w:rPr>
                <w:rFonts w:cstheme="minorHAnsi"/>
              </w:rPr>
              <w:t>Real Estate Capital Structure I: Implications for Risk and Return</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613EF9">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A75E88">
            <w:pPr>
              <w:tabs>
                <w:tab w:val="left" w:pos="-1022"/>
                <w:tab w:val="left" w:pos="-720"/>
                <w:tab w:val="left" w:pos="702"/>
                <w:tab w:val="left" w:pos="1170"/>
              </w:tabs>
              <w:jc w:val="center"/>
              <w:rPr>
                <w:rFonts w:cstheme="minorHAnsi"/>
                <w:b/>
              </w:rPr>
            </w:pPr>
            <w:r w:rsidRPr="00930E8F">
              <w:rPr>
                <w:rFonts w:cstheme="minorHAnsi"/>
                <w:b/>
              </w:rPr>
              <w:t>6</w:t>
            </w:r>
          </w:p>
          <w:p w:rsidR="00930E8F" w:rsidRPr="00930E8F" w:rsidRDefault="000E3CAE" w:rsidP="00930E8F">
            <w:pPr>
              <w:tabs>
                <w:tab w:val="left" w:pos="-1022"/>
                <w:tab w:val="left" w:pos="-720"/>
                <w:tab w:val="left" w:pos="702"/>
                <w:tab w:val="left" w:pos="1170"/>
              </w:tabs>
              <w:jc w:val="center"/>
              <w:rPr>
                <w:rFonts w:cstheme="minorHAnsi"/>
                <w:b/>
              </w:rPr>
            </w:pPr>
            <w:r>
              <w:rPr>
                <w:rFonts w:cstheme="minorHAnsi"/>
              </w:rPr>
              <w:t>09/2</w:t>
            </w:r>
            <w:r w:rsidR="007562E4">
              <w:rPr>
                <w:rFonts w:cstheme="minorHAnsi"/>
              </w:rPr>
              <w:t>2</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A75E88">
            <w:pPr>
              <w:tabs>
                <w:tab w:val="left" w:pos="-1022"/>
                <w:tab w:val="left" w:pos="-720"/>
                <w:tab w:val="left" w:pos="702"/>
                <w:tab w:val="left" w:pos="1170"/>
              </w:tabs>
              <w:rPr>
                <w:rFonts w:cstheme="minorHAnsi"/>
                <w:b/>
              </w:rPr>
            </w:pPr>
            <w:r w:rsidRPr="00930E8F">
              <w:rPr>
                <w:rFonts w:cstheme="minorHAnsi"/>
              </w:rPr>
              <w:t>Real Estate Capital Structure II: Law of One Price</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440"/>
              </w:tabs>
              <w:jc w:val="both"/>
              <w:rPr>
                <w:rFonts w:cstheme="minorHAnsi"/>
                <w:b/>
              </w:rPr>
            </w:pPr>
            <w:r w:rsidRPr="00930E8F">
              <w:rPr>
                <w:rFonts w:cstheme="minorHAnsi"/>
                <w:b/>
              </w:rPr>
              <w:t>HW #2 Due</w:t>
            </w:r>
          </w:p>
          <w:p w:rsidR="00930E8F" w:rsidRPr="00930E8F" w:rsidRDefault="00930E8F" w:rsidP="00A75E88">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7</w:t>
            </w:r>
          </w:p>
          <w:p w:rsidR="00930E8F" w:rsidRPr="00930E8F" w:rsidRDefault="000E3CAE" w:rsidP="00930E8F">
            <w:pPr>
              <w:tabs>
                <w:tab w:val="left" w:pos="-1022"/>
                <w:tab w:val="left" w:pos="-720"/>
                <w:tab w:val="left" w:pos="702"/>
                <w:tab w:val="left" w:pos="1170"/>
              </w:tabs>
              <w:jc w:val="center"/>
              <w:rPr>
                <w:rFonts w:cstheme="minorHAnsi"/>
                <w:b/>
              </w:rPr>
            </w:pPr>
            <w:r>
              <w:rPr>
                <w:rFonts w:cstheme="minorHAnsi"/>
              </w:rPr>
              <w:t>09/2</w:t>
            </w:r>
            <w:r w:rsidR="007562E4">
              <w:rPr>
                <w:rFonts w:cstheme="minorHAnsi"/>
              </w:rPr>
              <w:t>7</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 xml:space="preserve">Case #1 Part 1 Discussion </w:t>
            </w:r>
          </w:p>
          <w:p w:rsidR="00930E8F" w:rsidRPr="00930E8F" w:rsidRDefault="00930E8F" w:rsidP="00F71867">
            <w:pPr>
              <w:tabs>
                <w:tab w:val="left" w:pos="-1440"/>
              </w:tabs>
              <w:rPr>
                <w:rFonts w:cstheme="minorHAnsi"/>
                <w:b/>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r w:rsidRPr="00930E8F">
              <w:rPr>
                <w:rFonts w:cstheme="minorHAnsi"/>
                <w:b/>
              </w:rPr>
              <w:t>Case #1 Part 1 Due (The Associate’s Task)</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8</w:t>
            </w:r>
          </w:p>
          <w:p w:rsidR="00930E8F" w:rsidRPr="00930E8F" w:rsidRDefault="007562E4" w:rsidP="00930E8F">
            <w:pPr>
              <w:tabs>
                <w:tab w:val="left" w:pos="-1022"/>
                <w:tab w:val="left" w:pos="-720"/>
                <w:tab w:val="left" w:pos="702"/>
                <w:tab w:val="left" w:pos="1170"/>
              </w:tabs>
              <w:jc w:val="center"/>
              <w:rPr>
                <w:rFonts w:cstheme="minorHAnsi"/>
                <w:b/>
              </w:rPr>
            </w:pPr>
            <w:r>
              <w:rPr>
                <w:rFonts w:cstheme="minorHAnsi"/>
              </w:rPr>
              <w:t>09</w:t>
            </w:r>
            <w:r w:rsidR="000E3CAE">
              <w:rPr>
                <w:rFonts w:cstheme="minorHAnsi"/>
              </w:rPr>
              <w:t>/</w:t>
            </w:r>
            <w:r>
              <w:rPr>
                <w:rFonts w:cstheme="minorHAnsi"/>
              </w:rPr>
              <w:t>29</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color w:val="000000"/>
                <w:lang w:val="en"/>
              </w:rPr>
            </w:pPr>
            <w:r w:rsidRPr="00930E8F">
              <w:rPr>
                <w:rFonts w:cstheme="minorHAnsi"/>
                <w:color w:val="000000"/>
                <w:lang w:val="en"/>
              </w:rPr>
              <w:t>Real Estate Capital Structure III: Subordinate Debt and Mezzanine Financing</w:t>
            </w:r>
          </w:p>
          <w:p w:rsidR="00930E8F" w:rsidRPr="00930E8F" w:rsidRDefault="00930E8F" w:rsidP="00F71867">
            <w:pPr>
              <w:tabs>
                <w:tab w:val="left" w:pos="-144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9</w:t>
            </w:r>
          </w:p>
          <w:p w:rsidR="00930E8F" w:rsidRPr="00930E8F" w:rsidRDefault="000E3CAE" w:rsidP="00930E8F">
            <w:pPr>
              <w:tabs>
                <w:tab w:val="left" w:pos="-1022"/>
                <w:tab w:val="left" w:pos="-720"/>
                <w:tab w:val="left" w:pos="702"/>
                <w:tab w:val="left" w:pos="1170"/>
              </w:tabs>
              <w:jc w:val="center"/>
              <w:rPr>
                <w:rFonts w:cstheme="minorHAnsi"/>
                <w:b/>
              </w:rPr>
            </w:pPr>
            <w:r>
              <w:rPr>
                <w:rFonts w:cstheme="minorHAnsi"/>
              </w:rPr>
              <w:t>10/0</w:t>
            </w:r>
            <w:r w:rsidR="007562E4">
              <w:rPr>
                <w:rFonts w:cstheme="minorHAnsi"/>
              </w:rPr>
              <w:t>4</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Real Estate Capital Structure IV: Financing Strategies beyond Plain Vanilla</w:t>
            </w:r>
          </w:p>
          <w:p w:rsidR="00930E8F" w:rsidRPr="00930E8F" w:rsidRDefault="00930E8F" w:rsidP="00F71867">
            <w:pPr>
              <w:tabs>
                <w:tab w:val="left" w:pos="-144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10</w:t>
            </w:r>
          </w:p>
          <w:p w:rsidR="00930E8F" w:rsidRPr="00930E8F" w:rsidRDefault="000E3CAE" w:rsidP="00930E8F">
            <w:pPr>
              <w:tabs>
                <w:tab w:val="left" w:pos="-1022"/>
                <w:tab w:val="left" w:pos="-720"/>
                <w:tab w:val="left" w:pos="702"/>
                <w:tab w:val="left" w:pos="1170"/>
              </w:tabs>
              <w:jc w:val="center"/>
              <w:rPr>
                <w:rFonts w:cstheme="minorHAnsi"/>
              </w:rPr>
            </w:pPr>
            <w:r>
              <w:rPr>
                <w:rFonts w:cstheme="minorHAnsi"/>
              </w:rPr>
              <w:t>10/0</w:t>
            </w:r>
            <w:r w:rsidR="007562E4">
              <w:rPr>
                <w:rFonts w:cstheme="minorHAnsi"/>
              </w:rPr>
              <w:t>6</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color w:val="000000"/>
                <w:lang w:val="en"/>
              </w:rPr>
            </w:pPr>
            <w:r w:rsidRPr="00930E8F">
              <w:rPr>
                <w:rFonts w:cstheme="minorHAnsi"/>
                <w:color w:val="000000"/>
                <w:lang w:val="en"/>
              </w:rPr>
              <w:t>Real Estate and Taxes</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11</w:t>
            </w:r>
          </w:p>
          <w:p w:rsidR="00930E8F" w:rsidRPr="00930E8F" w:rsidRDefault="000E3CAE" w:rsidP="00930E8F">
            <w:pPr>
              <w:tabs>
                <w:tab w:val="left" w:pos="-1022"/>
                <w:tab w:val="left" w:pos="-720"/>
                <w:tab w:val="left" w:pos="702"/>
                <w:tab w:val="left" w:pos="1170"/>
              </w:tabs>
              <w:jc w:val="center"/>
              <w:rPr>
                <w:rFonts w:cstheme="minorHAnsi"/>
              </w:rPr>
            </w:pPr>
            <w:r>
              <w:rPr>
                <w:rFonts w:cstheme="minorHAnsi"/>
              </w:rPr>
              <w:t>10/1</w:t>
            </w:r>
            <w:r w:rsidR="007562E4">
              <w:rPr>
                <w:rFonts w:cstheme="minorHAnsi"/>
              </w:rPr>
              <w:t>1</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Case #1 Part 2 Discussion</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930E8F">
            <w:pPr>
              <w:widowControl w:val="0"/>
              <w:tabs>
                <w:tab w:val="left" w:pos="360"/>
                <w:tab w:val="left" w:pos="720"/>
              </w:tabs>
              <w:autoSpaceDE w:val="0"/>
              <w:autoSpaceDN w:val="0"/>
              <w:adjustRightInd w:val="0"/>
              <w:rPr>
                <w:rFonts w:cstheme="minorHAnsi"/>
              </w:rPr>
            </w:pPr>
            <w:r w:rsidRPr="00930E8F">
              <w:rPr>
                <w:rFonts w:cstheme="minorHAnsi"/>
                <w:b/>
              </w:rPr>
              <w:t xml:space="preserve">Case #1 Part 2 Due (The Associate’s Task) </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C06E8">
            <w:pPr>
              <w:tabs>
                <w:tab w:val="left" w:pos="-1022"/>
                <w:tab w:val="left" w:pos="-720"/>
                <w:tab w:val="left" w:pos="702"/>
                <w:tab w:val="left" w:pos="1170"/>
              </w:tabs>
              <w:jc w:val="center"/>
              <w:rPr>
                <w:rFonts w:cstheme="minorHAnsi"/>
                <w:b/>
              </w:rPr>
            </w:pPr>
            <w:r w:rsidRPr="00930E8F">
              <w:rPr>
                <w:rFonts w:cstheme="minorHAnsi"/>
                <w:b/>
              </w:rPr>
              <w:t>12</w:t>
            </w:r>
          </w:p>
          <w:p w:rsidR="00930E8F" w:rsidRPr="00930E8F" w:rsidRDefault="000E3CAE" w:rsidP="00930E8F">
            <w:pPr>
              <w:tabs>
                <w:tab w:val="left" w:pos="-1022"/>
                <w:tab w:val="left" w:pos="-720"/>
                <w:tab w:val="left" w:pos="702"/>
                <w:tab w:val="left" w:pos="1170"/>
              </w:tabs>
              <w:jc w:val="center"/>
              <w:rPr>
                <w:rFonts w:cstheme="minorHAnsi"/>
              </w:rPr>
            </w:pPr>
            <w:r>
              <w:rPr>
                <w:rFonts w:cstheme="minorHAnsi"/>
              </w:rPr>
              <w:t>10/1</w:t>
            </w:r>
            <w:r w:rsidR="007562E4">
              <w:rPr>
                <w:rFonts w:cstheme="minorHAnsi"/>
              </w:rPr>
              <w:t>3</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E76A20" w:rsidP="00F71867">
            <w:pPr>
              <w:tabs>
                <w:tab w:val="left" w:pos="-1022"/>
                <w:tab w:val="left" w:pos="-720"/>
                <w:tab w:val="left" w:pos="702"/>
                <w:tab w:val="left" w:pos="1170"/>
              </w:tabs>
              <w:rPr>
                <w:rFonts w:cstheme="minorHAnsi"/>
              </w:rPr>
            </w:pPr>
            <w:r>
              <w:rPr>
                <w:rFonts w:cstheme="minorHAnsi"/>
              </w:rPr>
              <w:t xml:space="preserve">First Midterm exam </w:t>
            </w:r>
            <w:r w:rsidR="00930E8F" w:rsidRPr="00930E8F">
              <w:rPr>
                <w:rFonts w:cstheme="minorHAnsi"/>
              </w:rPr>
              <w:t>in class</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r w:rsidRPr="00930E8F">
              <w:rPr>
                <w:rFonts w:cstheme="minorHAnsi"/>
                <w:b/>
                <w:bCs/>
              </w:rPr>
              <w:t>Midterm Exam</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13</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10/2</w:t>
            </w:r>
            <w:r w:rsidR="007562E4">
              <w:rPr>
                <w:rFonts w:cstheme="minorHAnsi"/>
              </w:rPr>
              <w:t>5</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Mortgage Default Decisions and Introduction to Case 2</w:t>
            </w:r>
          </w:p>
          <w:p w:rsidR="00930E8F" w:rsidRPr="00930E8F" w:rsidRDefault="00930E8F" w:rsidP="00F71867">
            <w:pPr>
              <w:tabs>
                <w:tab w:val="left" w:pos="-1440"/>
              </w:tabs>
              <w:rPr>
                <w:rFonts w:cstheme="minorHAnsi"/>
                <w:b/>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14</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10/</w:t>
            </w:r>
            <w:r w:rsidR="00954D45">
              <w:rPr>
                <w:rFonts w:cstheme="minorHAnsi"/>
              </w:rPr>
              <w:t>2</w:t>
            </w:r>
            <w:r w:rsidR="007562E4">
              <w:rPr>
                <w:rFonts w:cstheme="minorHAnsi"/>
              </w:rPr>
              <w:t>7</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 xml:space="preserve">Land Development, Valuation, Risk, and Return </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15</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w:t>
            </w:r>
            <w:r w:rsidR="000E3CAE">
              <w:rPr>
                <w:rFonts w:cstheme="minorHAnsi"/>
              </w:rPr>
              <w:t>1/</w:t>
            </w:r>
            <w:r w:rsidR="007562E4">
              <w:rPr>
                <w:rFonts w:cstheme="minorHAnsi"/>
              </w:rPr>
              <w:t>3</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color w:val="000000"/>
                <w:lang w:val="en"/>
              </w:rPr>
            </w:pPr>
            <w:r w:rsidRPr="00930E8F">
              <w:rPr>
                <w:rFonts w:cstheme="minorHAnsi"/>
                <w:color w:val="000000"/>
                <w:lang w:val="en"/>
              </w:rPr>
              <w:t>CMBS</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16</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11/</w:t>
            </w:r>
            <w:r w:rsidR="007562E4">
              <w:rPr>
                <w:rFonts w:cstheme="minorHAnsi"/>
              </w:rPr>
              <w:t>08</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rPr>
                <w:rFonts w:cstheme="minorHAnsi"/>
              </w:rPr>
            </w:pPr>
            <w:r>
              <w:rPr>
                <w:rFonts w:cstheme="minorHAnsi"/>
                <w:color w:val="000000"/>
                <w:lang w:val="en"/>
              </w:rPr>
              <w:t xml:space="preserve">Case #2 </w:t>
            </w:r>
            <w:r w:rsidRPr="00930E8F">
              <w:rPr>
                <w:rFonts w:cstheme="minorHAnsi"/>
                <w:color w:val="000000"/>
                <w:lang w:val="en"/>
              </w:rPr>
              <w:t xml:space="preserve">Discussion </w:t>
            </w:r>
            <w:r w:rsidRPr="00930E8F">
              <w:rPr>
                <w:rFonts w:cstheme="minorHAnsi"/>
              </w:rPr>
              <w:t xml:space="preserve">and </w:t>
            </w:r>
            <w:r w:rsidRPr="00930E8F">
              <w:rPr>
                <w:rFonts w:cstheme="minorHAnsi"/>
                <w:color w:val="000000"/>
                <w:lang w:val="en"/>
              </w:rPr>
              <w:t>Distressed Debt Investing</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r w:rsidRPr="00930E8F">
              <w:rPr>
                <w:rFonts w:cstheme="minorHAnsi"/>
                <w:b/>
              </w:rPr>
              <w:t>Case #2 Due</w:t>
            </w: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17</w:t>
            </w:r>
          </w:p>
          <w:p w:rsidR="00930E8F" w:rsidRPr="00930E8F" w:rsidRDefault="00930E8F" w:rsidP="00930E8F">
            <w:pPr>
              <w:tabs>
                <w:tab w:val="left" w:pos="-1022"/>
                <w:tab w:val="left" w:pos="-720"/>
                <w:tab w:val="left" w:pos="702"/>
                <w:tab w:val="left" w:pos="1170"/>
              </w:tabs>
              <w:jc w:val="center"/>
              <w:rPr>
                <w:rFonts w:cstheme="minorHAnsi"/>
                <w:b/>
              </w:rPr>
            </w:pPr>
            <w:r w:rsidRPr="00930E8F">
              <w:rPr>
                <w:rFonts w:cstheme="minorHAnsi"/>
              </w:rPr>
              <w:t>11/1</w:t>
            </w:r>
            <w:r w:rsidR="007562E4">
              <w:rPr>
                <w:rFonts w:cstheme="minorHAnsi"/>
              </w:rPr>
              <w:t>0</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color w:val="000000"/>
                <w:lang w:val="en"/>
              </w:rPr>
            </w:pPr>
            <w:r w:rsidRPr="00930E8F">
              <w:rPr>
                <w:rFonts w:cstheme="minorHAnsi"/>
                <w:color w:val="000000"/>
                <w:lang w:val="en"/>
              </w:rPr>
              <w:t>Real Estate Investment Trusts</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lastRenderedPageBreak/>
              <w:t>18</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11/1</w:t>
            </w:r>
            <w:r w:rsidR="007562E4">
              <w:rPr>
                <w:rFonts w:cstheme="minorHAnsi"/>
              </w:rPr>
              <w:t>5</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Real Estate Private Equity Funds</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19</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11/</w:t>
            </w:r>
            <w:r w:rsidR="00954D45">
              <w:rPr>
                <w:rFonts w:cstheme="minorHAnsi"/>
              </w:rPr>
              <w:t>1</w:t>
            </w:r>
            <w:r w:rsidR="007562E4">
              <w:rPr>
                <w:rFonts w:cstheme="minorHAnsi"/>
              </w:rPr>
              <w:t>7</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 xml:space="preserve">Housing Markets and Housing Finance </w:t>
            </w:r>
          </w:p>
          <w:p w:rsidR="00930E8F" w:rsidRPr="00930E8F" w:rsidRDefault="00930E8F" w:rsidP="00F71867">
            <w:pPr>
              <w:tabs>
                <w:tab w:val="left" w:pos="-1022"/>
                <w:tab w:val="left" w:pos="-720"/>
                <w:tab w:val="left" w:pos="702"/>
                <w:tab w:val="left" w:pos="1170"/>
              </w:tabs>
              <w:rPr>
                <w:rFonts w:cstheme="minorHAnsi"/>
              </w:rPr>
            </w:pPr>
          </w:p>
          <w:p w:rsidR="00930E8F" w:rsidRPr="00930E8F" w:rsidRDefault="00930E8F" w:rsidP="00F71867">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b/>
              </w:rPr>
              <w:t>HW #3 Due</w:t>
            </w:r>
          </w:p>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20</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11/2</w:t>
            </w:r>
            <w:r w:rsidR="007562E4">
              <w:rPr>
                <w:rFonts w:cstheme="minorHAnsi"/>
              </w:rPr>
              <w:t>2</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rPr>
              <w:t>To Own, Rent, or Invest?</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21</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w:t>
            </w:r>
            <w:r w:rsidR="007562E4">
              <w:rPr>
                <w:rFonts w:cstheme="minorHAnsi"/>
              </w:rPr>
              <w:t>1</w:t>
            </w:r>
            <w:r w:rsidR="000E3CAE">
              <w:rPr>
                <w:rFonts w:cstheme="minorHAnsi"/>
              </w:rPr>
              <w:t>/</w:t>
            </w:r>
            <w:r w:rsidR="007562E4">
              <w:rPr>
                <w:rFonts w:cstheme="minorHAnsi"/>
              </w:rPr>
              <w:t>29</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rPr>
                <w:rFonts w:cstheme="minorHAnsi"/>
              </w:rPr>
            </w:pPr>
            <w:r>
              <w:rPr>
                <w:rFonts w:cstheme="minorHAnsi"/>
              </w:rPr>
              <w:t xml:space="preserve">Case #3 </w:t>
            </w:r>
            <w:r w:rsidRPr="00930E8F">
              <w:rPr>
                <w:rFonts w:cstheme="minorHAnsi"/>
              </w:rPr>
              <w:t>Discussion</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rPr>
            </w:pPr>
            <w:r w:rsidRPr="00930E8F">
              <w:rPr>
                <w:rFonts w:cstheme="minorHAnsi"/>
                <w:b/>
              </w:rPr>
              <w:t>Case #3</w:t>
            </w:r>
            <w:r w:rsidRPr="00930E8F">
              <w:rPr>
                <w:rFonts w:cstheme="minorHAnsi"/>
                <w:b/>
                <w:bCs/>
              </w:rPr>
              <w:t xml:space="preserve"> Due</w:t>
            </w:r>
          </w:p>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22</w:t>
            </w:r>
          </w:p>
          <w:p w:rsidR="00930E8F" w:rsidRPr="000E3CAE" w:rsidRDefault="00930E8F" w:rsidP="000E3CAE">
            <w:pPr>
              <w:tabs>
                <w:tab w:val="left" w:pos="-1022"/>
                <w:tab w:val="left" w:pos="-720"/>
                <w:tab w:val="left" w:pos="702"/>
                <w:tab w:val="left" w:pos="1170"/>
              </w:tabs>
              <w:jc w:val="center"/>
              <w:rPr>
                <w:rFonts w:cstheme="minorHAnsi"/>
              </w:rPr>
            </w:pPr>
            <w:r w:rsidRPr="00930E8F">
              <w:rPr>
                <w:rFonts w:cstheme="minorHAnsi"/>
              </w:rPr>
              <w:t>12/0</w:t>
            </w:r>
            <w:r w:rsidR="007562E4">
              <w:rPr>
                <w:rFonts w:cstheme="minorHAnsi"/>
              </w:rPr>
              <w:t>1</w:t>
            </w:r>
          </w:p>
        </w:tc>
        <w:tc>
          <w:tcPr>
            <w:tcW w:w="5580" w:type="dxa"/>
            <w:tcBorders>
              <w:top w:val="single" w:sz="4" w:space="0" w:color="auto"/>
              <w:left w:val="single" w:sz="4" w:space="0" w:color="auto"/>
              <w:bottom w:val="single" w:sz="4" w:space="0" w:color="auto"/>
              <w:right w:val="single" w:sz="4" w:space="0" w:color="auto"/>
            </w:tcBorders>
          </w:tcPr>
          <w:p w:rsidR="008A756E" w:rsidRPr="00930E8F" w:rsidRDefault="008A756E" w:rsidP="008A756E">
            <w:pPr>
              <w:tabs>
                <w:tab w:val="left" w:pos="-1440"/>
              </w:tabs>
              <w:rPr>
                <w:rFonts w:cstheme="minorHAnsi"/>
                <w:color w:val="000000"/>
                <w:lang w:val="en"/>
              </w:rPr>
            </w:pPr>
            <w:r>
              <w:rPr>
                <w:rFonts w:cstheme="minorHAnsi"/>
                <w:color w:val="000000"/>
                <w:lang w:val="en"/>
              </w:rPr>
              <w:t>Affordable Housing with Guest Speaker</w:t>
            </w:r>
          </w:p>
          <w:p w:rsidR="00930E8F" w:rsidRPr="00930E8F" w:rsidRDefault="00930E8F" w:rsidP="00F71867">
            <w:pPr>
              <w:tabs>
                <w:tab w:val="left" w:pos="-1022"/>
                <w:tab w:val="left" w:pos="-720"/>
                <w:tab w:val="left" w:pos="702"/>
                <w:tab w:val="left" w:pos="1170"/>
              </w:tabs>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022"/>
                <w:tab w:val="left" w:pos="-720"/>
                <w:tab w:val="left" w:pos="702"/>
                <w:tab w:val="left" w:pos="1170"/>
              </w:tabs>
              <w:jc w:val="center"/>
              <w:rPr>
                <w:rFonts w:cstheme="minorHAnsi"/>
                <w:b/>
              </w:rPr>
            </w:pPr>
            <w:r w:rsidRPr="00930E8F">
              <w:rPr>
                <w:rFonts w:cstheme="minorHAnsi"/>
                <w:b/>
              </w:rPr>
              <w:t>23</w:t>
            </w:r>
          </w:p>
          <w:p w:rsidR="00930E8F" w:rsidRPr="00930E8F" w:rsidRDefault="00930E8F" w:rsidP="00930E8F">
            <w:pPr>
              <w:tabs>
                <w:tab w:val="left" w:pos="-1022"/>
                <w:tab w:val="left" w:pos="-720"/>
                <w:tab w:val="left" w:pos="702"/>
                <w:tab w:val="left" w:pos="1170"/>
              </w:tabs>
              <w:jc w:val="center"/>
              <w:rPr>
                <w:rFonts w:cstheme="minorHAnsi"/>
              </w:rPr>
            </w:pPr>
            <w:r w:rsidRPr="00930E8F">
              <w:rPr>
                <w:rFonts w:cstheme="minorHAnsi"/>
              </w:rPr>
              <w:t>12/0</w:t>
            </w:r>
            <w:r w:rsidR="007562E4">
              <w:rPr>
                <w:rFonts w:cstheme="minorHAnsi"/>
              </w:rPr>
              <w:t>6</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6E7179" w:rsidP="008A756E">
            <w:pPr>
              <w:tabs>
                <w:tab w:val="left" w:pos="-1440"/>
              </w:tabs>
              <w:rPr>
                <w:rFonts w:cstheme="minorHAnsi"/>
              </w:rPr>
            </w:pPr>
            <w:r>
              <w:rPr>
                <w:rFonts w:cstheme="minorHAnsi"/>
                <w:color w:val="000000"/>
                <w:lang w:val="en"/>
              </w:rPr>
              <w:t>Course Review Session</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widowControl w:val="0"/>
              <w:tabs>
                <w:tab w:val="left" w:pos="360"/>
                <w:tab w:val="left" w:pos="720"/>
              </w:tabs>
              <w:autoSpaceDE w:val="0"/>
              <w:autoSpaceDN w:val="0"/>
              <w:adjustRightInd w:val="0"/>
              <w:rPr>
                <w:rFonts w:cstheme="minorHAnsi"/>
              </w:rPr>
            </w:pPr>
          </w:p>
        </w:tc>
      </w:tr>
      <w:tr w:rsidR="00930E8F" w:rsidRPr="00930E8F" w:rsidTr="00E76A20">
        <w:trPr>
          <w:trHeight w:val="648"/>
        </w:trPr>
        <w:tc>
          <w:tcPr>
            <w:tcW w:w="2160" w:type="dxa"/>
            <w:tcBorders>
              <w:top w:val="single" w:sz="4" w:space="0" w:color="auto"/>
              <w:left w:val="single" w:sz="4" w:space="0" w:color="auto"/>
              <w:bottom w:val="single" w:sz="4" w:space="0" w:color="auto"/>
              <w:right w:val="single" w:sz="4" w:space="0" w:color="auto"/>
            </w:tcBorders>
          </w:tcPr>
          <w:p w:rsidR="00930E8F" w:rsidRDefault="00930E8F" w:rsidP="00F71867">
            <w:pPr>
              <w:tabs>
                <w:tab w:val="left" w:pos="-1022"/>
                <w:tab w:val="left" w:pos="-720"/>
                <w:tab w:val="left" w:pos="702"/>
                <w:tab w:val="left" w:pos="1170"/>
              </w:tabs>
              <w:jc w:val="center"/>
              <w:rPr>
                <w:rFonts w:cstheme="minorHAnsi"/>
                <w:b/>
              </w:rPr>
            </w:pPr>
            <w:r>
              <w:rPr>
                <w:rFonts w:cstheme="minorHAnsi"/>
                <w:b/>
              </w:rPr>
              <w:t>24</w:t>
            </w:r>
          </w:p>
          <w:p w:rsidR="00930E8F" w:rsidRPr="00E76A20" w:rsidRDefault="00930E8F" w:rsidP="00F71867">
            <w:pPr>
              <w:tabs>
                <w:tab w:val="left" w:pos="-1022"/>
                <w:tab w:val="left" w:pos="-720"/>
                <w:tab w:val="left" w:pos="702"/>
                <w:tab w:val="left" w:pos="1170"/>
              </w:tabs>
              <w:jc w:val="center"/>
              <w:rPr>
                <w:rFonts w:cstheme="minorHAnsi"/>
              </w:rPr>
            </w:pPr>
            <w:r w:rsidRPr="00E76A20">
              <w:rPr>
                <w:rFonts w:cstheme="minorHAnsi"/>
              </w:rPr>
              <w:t>12/</w:t>
            </w:r>
            <w:r w:rsidR="007562E4">
              <w:rPr>
                <w:rFonts w:cstheme="minorHAnsi"/>
              </w:rPr>
              <w:t>08</w:t>
            </w:r>
          </w:p>
        </w:tc>
        <w:tc>
          <w:tcPr>
            <w:tcW w:w="5580" w:type="dxa"/>
            <w:tcBorders>
              <w:top w:val="single" w:sz="4" w:space="0" w:color="auto"/>
              <w:left w:val="single" w:sz="4" w:space="0" w:color="auto"/>
              <w:bottom w:val="single" w:sz="4" w:space="0" w:color="auto"/>
              <w:right w:val="single" w:sz="4" w:space="0" w:color="auto"/>
            </w:tcBorders>
          </w:tcPr>
          <w:p w:rsidR="00930E8F" w:rsidRPr="00930E8F" w:rsidRDefault="00930E8F" w:rsidP="00F71867">
            <w:pPr>
              <w:tabs>
                <w:tab w:val="left" w:pos="-1440"/>
              </w:tabs>
              <w:rPr>
                <w:rFonts w:cstheme="minorHAnsi"/>
                <w:color w:val="000000"/>
                <w:lang w:val="en"/>
              </w:rPr>
            </w:pPr>
            <w:r>
              <w:rPr>
                <w:rFonts w:cstheme="minorHAnsi"/>
                <w:color w:val="000000"/>
                <w:lang w:val="en"/>
              </w:rPr>
              <w:t>Second Midterm in class</w:t>
            </w:r>
          </w:p>
        </w:tc>
        <w:tc>
          <w:tcPr>
            <w:tcW w:w="2340" w:type="dxa"/>
            <w:tcBorders>
              <w:top w:val="single" w:sz="4" w:space="0" w:color="auto"/>
              <w:left w:val="single" w:sz="4" w:space="0" w:color="auto"/>
              <w:bottom w:val="single" w:sz="4" w:space="0" w:color="auto"/>
              <w:right w:val="single" w:sz="4" w:space="0" w:color="auto"/>
            </w:tcBorders>
          </w:tcPr>
          <w:p w:rsidR="00930E8F" w:rsidRPr="00930E8F" w:rsidRDefault="00E76A20" w:rsidP="00F71867">
            <w:pPr>
              <w:widowControl w:val="0"/>
              <w:tabs>
                <w:tab w:val="left" w:pos="360"/>
                <w:tab w:val="left" w:pos="720"/>
              </w:tabs>
              <w:autoSpaceDE w:val="0"/>
              <w:autoSpaceDN w:val="0"/>
              <w:adjustRightInd w:val="0"/>
              <w:rPr>
                <w:rFonts w:cstheme="minorHAnsi"/>
                <w:b/>
              </w:rPr>
            </w:pPr>
            <w:r>
              <w:rPr>
                <w:rFonts w:cstheme="minorHAnsi"/>
                <w:b/>
              </w:rPr>
              <w:t>Final exam</w:t>
            </w:r>
          </w:p>
        </w:tc>
      </w:tr>
    </w:tbl>
    <w:p w:rsidR="006575ED" w:rsidRPr="00930E8F" w:rsidRDefault="006575ED" w:rsidP="00A636EF">
      <w:pPr>
        <w:spacing w:after="0"/>
        <w:rPr>
          <w:rFonts w:cstheme="minorHAnsi"/>
          <w:b/>
        </w:rPr>
      </w:pPr>
    </w:p>
    <w:p w:rsidR="00934BFC" w:rsidRPr="00E76A20" w:rsidRDefault="00934BFC" w:rsidP="00E76A20">
      <w:pPr>
        <w:rPr>
          <w:rFonts w:cstheme="minorHAnsi"/>
          <w:b/>
        </w:rPr>
      </w:pPr>
      <w:r w:rsidRPr="006575ED">
        <w:rPr>
          <w:b/>
        </w:rPr>
        <w:t>ASSIGNMENTS</w:t>
      </w:r>
    </w:p>
    <w:p w:rsidR="00DB25E4" w:rsidRPr="00233616" w:rsidRDefault="00DB25E4" w:rsidP="00DB25E4">
      <w:pPr>
        <w:rPr>
          <w:rFonts w:cstheme="minorHAnsi"/>
          <w:color w:val="000000"/>
        </w:rPr>
      </w:pPr>
      <w:r w:rsidRPr="00233616">
        <w:rPr>
          <w:rFonts w:cstheme="minorHAnsi"/>
          <w:color w:val="000000"/>
        </w:rPr>
        <w:t xml:space="preserve">There will be both homework assignments and cases. They jointly account for 60% of your grade. </w:t>
      </w:r>
      <w:r w:rsidR="00E76A20" w:rsidRPr="00233616">
        <w:rPr>
          <w:rFonts w:cstheme="minorHAnsi"/>
          <w:color w:val="000000"/>
        </w:rPr>
        <w:t>Assignments should be turned in at the beginning of class on the day it is due. Late assignments will be accepted under no circumstances.</w:t>
      </w:r>
      <w:r w:rsidR="00E76A20">
        <w:rPr>
          <w:rFonts w:cstheme="minorHAnsi"/>
          <w:color w:val="000000"/>
        </w:rPr>
        <w:br/>
      </w:r>
      <w:r w:rsidR="00E76A20">
        <w:rPr>
          <w:rFonts w:cstheme="minorHAnsi"/>
          <w:color w:val="000000"/>
        </w:rPr>
        <w:br/>
      </w:r>
      <w:r w:rsidRPr="00233616">
        <w:rPr>
          <w:rFonts w:cstheme="minorHAnsi"/>
          <w:color w:val="000000"/>
        </w:rPr>
        <w:t xml:space="preserve">Cases will be completed in groups. The maximal size of a group will be three. Under no circumstances, will I accept any group whose size is larger than 3. It is solely your responsibility to form the group. </w:t>
      </w:r>
      <w:r w:rsidR="00E76A20" w:rsidRPr="00233616">
        <w:rPr>
          <w:rFonts w:cstheme="minorHAnsi"/>
          <w:color w:val="000000"/>
        </w:rPr>
        <w:t>You will do three cases. Each case counts 15% towards your course grade.</w:t>
      </w:r>
      <w:r w:rsidR="00E76A20">
        <w:rPr>
          <w:rFonts w:cstheme="minorHAnsi"/>
          <w:color w:val="000000"/>
        </w:rPr>
        <w:br/>
      </w:r>
      <w:r w:rsidR="00E76A20">
        <w:rPr>
          <w:rFonts w:cstheme="minorHAnsi"/>
          <w:color w:val="000000"/>
        </w:rPr>
        <w:br/>
      </w:r>
      <w:r w:rsidRPr="00233616">
        <w:rPr>
          <w:rFonts w:cstheme="minorHAnsi"/>
          <w:color w:val="000000"/>
        </w:rPr>
        <w:t>Homework assignments will be completed individually.</w:t>
      </w:r>
      <w:r w:rsidR="00E76A20">
        <w:rPr>
          <w:rFonts w:cstheme="minorHAnsi"/>
          <w:color w:val="000000"/>
        </w:rPr>
        <w:t xml:space="preserve"> </w:t>
      </w:r>
      <w:r w:rsidRPr="00233616">
        <w:rPr>
          <w:rFonts w:cstheme="minorHAnsi"/>
          <w:color w:val="000000"/>
        </w:rPr>
        <w:t xml:space="preserve">You will have three homework exercises. Each homework assignment accounts 5% of your course grade. </w:t>
      </w:r>
    </w:p>
    <w:p w:rsidR="00DB25E4" w:rsidRPr="00DB25E4" w:rsidRDefault="00DB25E4" w:rsidP="00DB25E4">
      <w:pPr>
        <w:rPr>
          <w:rFonts w:cstheme="minorHAnsi"/>
          <w:b/>
          <w:color w:val="000000"/>
        </w:rPr>
      </w:pPr>
      <w:bookmarkStart w:id="1" w:name="OLE_LINK1"/>
      <w:r w:rsidRPr="00233616">
        <w:rPr>
          <w:rFonts w:cstheme="minorHAnsi"/>
          <w:b/>
          <w:color w:val="000000"/>
        </w:rPr>
        <w:t>1st midter</w:t>
      </w:r>
      <w:bookmarkEnd w:id="1"/>
      <w:r w:rsidRPr="00233616">
        <w:rPr>
          <w:rFonts w:cstheme="minorHAnsi"/>
          <w:b/>
          <w:color w:val="000000"/>
        </w:rPr>
        <w:t>m</w:t>
      </w:r>
      <w:r>
        <w:rPr>
          <w:rFonts w:cstheme="minorHAnsi"/>
          <w:b/>
          <w:color w:val="000000"/>
        </w:rPr>
        <w:br/>
      </w:r>
      <w:r w:rsidRPr="00233616">
        <w:rPr>
          <w:rFonts w:cstheme="minorHAnsi"/>
          <w:color w:val="000000"/>
        </w:rPr>
        <w:t>The first midterm exam covers material for the first half of the lecture. It is only offered in class. Make-ups are not given unless you have written authorization from the student affairs office.</w:t>
      </w:r>
    </w:p>
    <w:p w:rsidR="00DB25E4" w:rsidRPr="00DB25E4" w:rsidRDefault="00DB25E4" w:rsidP="00DB25E4">
      <w:pPr>
        <w:rPr>
          <w:rFonts w:cstheme="minorHAnsi"/>
          <w:b/>
          <w:color w:val="000000"/>
        </w:rPr>
      </w:pPr>
      <w:r w:rsidRPr="00233616">
        <w:rPr>
          <w:rFonts w:cstheme="minorHAnsi"/>
          <w:b/>
          <w:color w:val="000000"/>
        </w:rPr>
        <w:t>2nd midterm</w:t>
      </w:r>
      <w:r>
        <w:rPr>
          <w:rFonts w:cstheme="minorHAnsi"/>
          <w:b/>
          <w:color w:val="000000"/>
        </w:rPr>
        <w:br/>
      </w:r>
      <w:r w:rsidRPr="00233616">
        <w:rPr>
          <w:rFonts w:cstheme="minorHAnsi"/>
          <w:color w:val="000000"/>
        </w:rPr>
        <w:t>The second midterm exam covers material from the lectures after the 1st midterm. It is only offered in class.  Make-ups are not given, unless you have written authorization from student affairs office.</w:t>
      </w:r>
    </w:p>
    <w:p w:rsidR="00DB25E4" w:rsidRDefault="00DB25E4" w:rsidP="00DB25E4">
      <w:pPr>
        <w:rPr>
          <w:rFonts w:cstheme="minorHAnsi"/>
          <w:color w:val="000000"/>
        </w:rPr>
      </w:pPr>
      <w:r w:rsidRPr="00233616">
        <w:rPr>
          <w:rFonts w:cstheme="minorHAnsi"/>
          <w:color w:val="000000"/>
        </w:rPr>
        <w:t>The two midterm exams jointly account for 35% of your course grade. When calculating your course grade, I will choose the larger score based on the following two weights: (i) 25% on the first midterm and 75% on the second midterm; and (ii) 50% on both the first and second midterms. I hope that this will give you incentives to work hard after the first midterm, even if you unfortunately did not perform well on the first midterm!</w:t>
      </w:r>
    </w:p>
    <w:p w:rsidR="00DB25E4" w:rsidRPr="00233616" w:rsidRDefault="00DB25E4" w:rsidP="00DB25E4">
      <w:pPr>
        <w:rPr>
          <w:rFonts w:cstheme="minorHAnsi"/>
          <w:color w:val="000000"/>
        </w:rPr>
      </w:pPr>
      <w:r w:rsidRPr="00233616">
        <w:rPr>
          <w:rFonts w:cstheme="minorHAnsi"/>
          <w:color w:val="000000"/>
        </w:rPr>
        <w:lastRenderedPageBreak/>
        <w:t xml:space="preserve">The readings distributed over the semester are to help you better understand concepts and materials covered in class.  Materials only in the readings but not covered in class are not required for the exams. I will be very precise about what you need to know for the exams in the exam review sessions. </w:t>
      </w:r>
    </w:p>
    <w:p w:rsidR="00DB25E4" w:rsidRPr="00DB25E4" w:rsidRDefault="00DB25E4" w:rsidP="00DB25E4">
      <w:pPr>
        <w:rPr>
          <w:rFonts w:cstheme="minorHAnsi"/>
          <w:b/>
          <w:color w:val="000000"/>
        </w:rPr>
      </w:pPr>
      <w:r w:rsidRPr="00233616">
        <w:rPr>
          <w:rFonts w:cstheme="minorHAnsi"/>
          <w:b/>
          <w:color w:val="000000"/>
        </w:rPr>
        <w:t>Re-grading</w:t>
      </w:r>
      <w:r>
        <w:rPr>
          <w:rFonts w:cstheme="minorHAnsi"/>
          <w:b/>
          <w:color w:val="000000"/>
        </w:rPr>
        <w:br/>
      </w:r>
      <w:r w:rsidRPr="00233616">
        <w:rPr>
          <w:rFonts w:cstheme="minorHAnsi"/>
          <w:color w:val="000000"/>
        </w:rPr>
        <w:t>All requests for re-grades must be submitted, in writing, within two weeks of my returning the graded homework, case, or the exam. You must submit the entire homework, case, or the exam, along with a detailed description of what you think was scored incorrectly. Before submitting your request, you should carefully examine the posted solutions. Re-grading may potentially lead to a lower grade.</w:t>
      </w:r>
    </w:p>
    <w:p w:rsidR="00E76A20" w:rsidRPr="00930E8F" w:rsidRDefault="00E76A20" w:rsidP="00E76A20">
      <w:pPr>
        <w:spacing w:after="0"/>
        <w:rPr>
          <w:rFonts w:cstheme="minorHAnsi"/>
          <w:b/>
        </w:rPr>
      </w:pPr>
      <w:r w:rsidRPr="00930E8F">
        <w:rPr>
          <w:rFonts w:cstheme="minorHAnsi"/>
          <w:b/>
        </w:rPr>
        <w:t>METHOD OF EVALUATION</w:t>
      </w:r>
    </w:p>
    <w:tbl>
      <w:tblPr>
        <w:tblStyle w:val="TableGrid"/>
        <w:tblpPr w:leftFromText="180" w:rightFromText="180" w:vertAnchor="text" w:horzAnchor="page" w:tblpX="1486" w:tblpY="320"/>
        <w:tblW w:w="0" w:type="auto"/>
        <w:tblLook w:val="04A0" w:firstRow="1" w:lastRow="0" w:firstColumn="1" w:lastColumn="0" w:noHBand="0" w:noVBand="1"/>
      </w:tblPr>
      <w:tblGrid>
        <w:gridCol w:w="2718"/>
        <w:gridCol w:w="697"/>
        <w:gridCol w:w="697"/>
      </w:tblGrid>
      <w:tr w:rsidR="00E76A20" w:rsidRPr="00930E8F" w:rsidTr="007E4D2B">
        <w:tc>
          <w:tcPr>
            <w:tcW w:w="2718" w:type="dxa"/>
          </w:tcPr>
          <w:p w:rsidR="00E76A20" w:rsidRPr="00930E8F" w:rsidRDefault="00E76A20" w:rsidP="007E4D2B">
            <w:pPr>
              <w:rPr>
                <w:rFonts w:cstheme="minorHAnsi"/>
              </w:rPr>
            </w:pPr>
            <w:r w:rsidRPr="00930E8F">
              <w:rPr>
                <w:rFonts w:cstheme="minorHAnsi"/>
              </w:rPr>
              <w:t>Participation</w:t>
            </w:r>
          </w:p>
        </w:tc>
        <w:tc>
          <w:tcPr>
            <w:tcW w:w="697" w:type="dxa"/>
          </w:tcPr>
          <w:p w:rsidR="00E76A20" w:rsidRPr="00930E8F" w:rsidRDefault="00E76A20" w:rsidP="007E4D2B">
            <w:pPr>
              <w:rPr>
                <w:rFonts w:cstheme="minorHAnsi"/>
              </w:rPr>
            </w:pPr>
            <w:r w:rsidRPr="00930E8F">
              <w:rPr>
                <w:rFonts w:cstheme="minorHAnsi"/>
              </w:rPr>
              <w:t>5%</w:t>
            </w:r>
          </w:p>
        </w:tc>
        <w:tc>
          <w:tcPr>
            <w:tcW w:w="697" w:type="dxa"/>
          </w:tcPr>
          <w:p w:rsidR="00E76A20" w:rsidRPr="00930E8F" w:rsidRDefault="00E76A20" w:rsidP="007E4D2B">
            <w:pPr>
              <w:rPr>
                <w:rFonts w:cstheme="minorHAnsi"/>
              </w:rPr>
            </w:pPr>
            <w:r>
              <w:rPr>
                <w:rFonts w:cstheme="minorHAnsi"/>
              </w:rPr>
              <w:t>C</w:t>
            </w:r>
          </w:p>
        </w:tc>
      </w:tr>
      <w:tr w:rsidR="00E76A20" w:rsidRPr="00930E8F" w:rsidTr="007E4D2B">
        <w:tc>
          <w:tcPr>
            <w:tcW w:w="2718" w:type="dxa"/>
          </w:tcPr>
          <w:p w:rsidR="00E76A20" w:rsidRPr="00930E8F" w:rsidRDefault="00E76A20" w:rsidP="007E4D2B">
            <w:pPr>
              <w:rPr>
                <w:rFonts w:cstheme="minorHAnsi"/>
              </w:rPr>
            </w:pPr>
            <w:r w:rsidRPr="00930E8F">
              <w:rPr>
                <w:rFonts w:cstheme="minorHAnsi"/>
              </w:rPr>
              <w:t>Homework Assignments</w:t>
            </w:r>
            <w:r>
              <w:rPr>
                <w:rFonts w:cstheme="minorHAnsi"/>
              </w:rPr>
              <w:t xml:space="preserve"> (3)</w:t>
            </w:r>
          </w:p>
        </w:tc>
        <w:tc>
          <w:tcPr>
            <w:tcW w:w="697" w:type="dxa"/>
          </w:tcPr>
          <w:p w:rsidR="00E76A20" w:rsidRPr="00930E8F" w:rsidRDefault="00E76A20" w:rsidP="007E4D2B">
            <w:pPr>
              <w:rPr>
                <w:rFonts w:cstheme="minorHAnsi"/>
              </w:rPr>
            </w:pPr>
            <w:r>
              <w:rPr>
                <w:rFonts w:cstheme="minorHAnsi"/>
              </w:rPr>
              <w:t>1</w:t>
            </w:r>
            <w:r w:rsidRPr="00930E8F">
              <w:rPr>
                <w:rFonts w:cstheme="minorHAnsi"/>
              </w:rPr>
              <w:t>5%</w:t>
            </w:r>
          </w:p>
        </w:tc>
        <w:tc>
          <w:tcPr>
            <w:tcW w:w="697" w:type="dxa"/>
          </w:tcPr>
          <w:p w:rsidR="00E76A20" w:rsidRDefault="00E76A20" w:rsidP="007E4D2B">
            <w:pPr>
              <w:rPr>
                <w:rFonts w:cstheme="minorHAnsi"/>
              </w:rPr>
            </w:pPr>
            <w:r>
              <w:rPr>
                <w:rFonts w:cstheme="minorHAnsi"/>
              </w:rPr>
              <w:t>C</w:t>
            </w:r>
          </w:p>
        </w:tc>
      </w:tr>
      <w:tr w:rsidR="00E76A20" w:rsidRPr="00930E8F" w:rsidTr="007E4D2B">
        <w:tc>
          <w:tcPr>
            <w:tcW w:w="2718" w:type="dxa"/>
          </w:tcPr>
          <w:p w:rsidR="00E76A20" w:rsidRPr="00930E8F" w:rsidRDefault="00E76A20" w:rsidP="007E4D2B">
            <w:pPr>
              <w:rPr>
                <w:rFonts w:cstheme="minorHAnsi"/>
              </w:rPr>
            </w:pPr>
            <w:r w:rsidRPr="00930E8F">
              <w:rPr>
                <w:rFonts w:cstheme="minorHAnsi"/>
              </w:rPr>
              <w:t>Cases</w:t>
            </w:r>
            <w:r>
              <w:rPr>
                <w:rFonts w:cstheme="minorHAnsi"/>
              </w:rPr>
              <w:t xml:space="preserve"> (3)</w:t>
            </w:r>
          </w:p>
        </w:tc>
        <w:tc>
          <w:tcPr>
            <w:tcW w:w="697" w:type="dxa"/>
          </w:tcPr>
          <w:p w:rsidR="00E76A20" w:rsidRPr="00930E8F" w:rsidRDefault="00E76A20" w:rsidP="007E4D2B">
            <w:pPr>
              <w:rPr>
                <w:rFonts w:cstheme="minorHAnsi"/>
              </w:rPr>
            </w:pPr>
            <w:r>
              <w:rPr>
                <w:rFonts w:cstheme="minorHAnsi"/>
              </w:rPr>
              <w:t>4</w:t>
            </w:r>
            <w:r w:rsidRPr="00930E8F">
              <w:rPr>
                <w:rFonts w:cstheme="minorHAnsi"/>
              </w:rPr>
              <w:t>5%</w:t>
            </w:r>
          </w:p>
        </w:tc>
        <w:tc>
          <w:tcPr>
            <w:tcW w:w="697" w:type="dxa"/>
          </w:tcPr>
          <w:p w:rsidR="00E76A20" w:rsidRDefault="00E76A20" w:rsidP="007E4D2B">
            <w:pPr>
              <w:rPr>
                <w:rFonts w:cstheme="minorHAnsi"/>
              </w:rPr>
            </w:pPr>
            <w:r>
              <w:rPr>
                <w:rFonts w:cstheme="minorHAnsi"/>
              </w:rPr>
              <w:t>A</w:t>
            </w:r>
          </w:p>
        </w:tc>
      </w:tr>
      <w:tr w:rsidR="00E76A20" w:rsidRPr="00930E8F" w:rsidTr="007E4D2B">
        <w:tc>
          <w:tcPr>
            <w:tcW w:w="2718" w:type="dxa"/>
          </w:tcPr>
          <w:p w:rsidR="00E76A20" w:rsidRPr="00930E8F" w:rsidRDefault="00E76A20" w:rsidP="007E4D2B">
            <w:pPr>
              <w:rPr>
                <w:rFonts w:cstheme="minorHAnsi"/>
              </w:rPr>
            </w:pPr>
            <w:r w:rsidRPr="00930E8F">
              <w:rPr>
                <w:rFonts w:cstheme="minorHAnsi"/>
              </w:rPr>
              <w:t>Exams</w:t>
            </w:r>
            <w:r>
              <w:rPr>
                <w:rFonts w:cstheme="minorHAnsi"/>
              </w:rPr>
              <w:t xml:space="preserve"> (2)</w:t>
            </w:r>
          </w:p>
        </w:tc>
        <w:tc>
          <w:tcPr>
            <w:tcW w:w="697" w:type="dxa"/>
          </w:tcPr>
          <w:p w:rsidR="00E76A20" w:rsidRPr="00930E8F" w:rsidRDefault="00E76A20" w:rsidP="007E4D2B">
            <w:pPr>
              <w:rPr>
                <w:rFonts w:cstheme="minorHAnsi"/>
              </w:rPr>
            </w:pPr>
            <w:r>
              <w:rPr>
                <w:rFonts w:cstheme="minorHAnsi"/>
              </w:rPr>
              <w:t>3</w:t>
            </w:r>
            <w:r w:rsidRPr="00930E8F">
              <w:rPr>
                <w:rFonts w:cstheme="minorHAnsi"/>
              </w:rPr>
              <w:t>5%</w:t>
            </w:r>
          </w:p>
        </w:tc>
        <w:tc>
          <w:tcPr>
            <w:tcW w:w="697" w:type="dxa"/>
          </w:tcPr>
          <w:p w:rsidR="00E76A20" w:rsidRDefault="00E76A20" w:rsidP="007E4D2B">
            <w:pPr>
              <w:rPr>
                <w:rFonts w:cstheme="minorHAnsi"/>
              </w:rPr>
            </w:pPr>
            <w:r>
              <w:rPr>
                <w:rFonts w:cstheme="minorHAnsi"/>
              </w:rPr>
              <w:t>C</w:t>
            </w:r>
          </w:p>
        </w:tc>
      </w:tr>
    </w:tbl>
    <w:p w:rsidR="00E76A20" w:rsidRPr="00930E8F" w:rsidRDefault="00E76A20" w:rsidP="00E76A20">
      <w:pPr>
        <w:pStyle w:val="ListParagraph"/>
        <w:rPr>
          <w:rFonts w:cstheme="minorHAnsi"/>
          <w:i/>
        </w:rPr>
      </w:pPr>
    </w:p>
    <w:p w:rsidR="00E76A20" w:rsidRDefault="00E76A20" w:rsidP="00E76A20">
      <w:pPr>
        <w:rPr>
          <w:rFonts w:cstheme="minorHAnsi"/>
          <w:b/>
        </w:rPr>
      </w:pPr>
    </w:p>
    <w:p w:rsidR="00E76A20" w:rsidRDefault="00E76A20" w:rsidP="00E76A20">
      <w:pPr>
        <w:rPr>
          <w:rFonts w:cstheme="minorHAnsi"/>
          <w:b/>
        </w:rPr>
      </w:pPr>
    </w:p>
    <w:p w:rsidR="00E76A20" w:rsidRDefault="00E76A20" w:rsidP="00E76A20">
      <w:pPr>
        <w:rPr>
          <w:rFonts w:cstheme="minorHAnsi"/>
          <w:b/>
        </w:rPr>
      </w:pPr>
      <w:r>
        <w:rPr>
          <w:i/>
        </w:rPr>
        <w:t>(A – group,</w:t>
      </w:r>
      <w:r w:rsidRPr="006575ED">
        <w:rPr>
          <w:i/>
        </w:rPr>
        <w:t xml:space="preserve"> C - individual).</w:t>
      </w:r>
    </w:p>
    <w:p w:rsidR="006575ED" w:rsidRDefault="006575ED" w:rsidP="006575ED">
      <w:pPr>
        <w:spacing w:after="0"/>
        <w:rPr>
          <w:b/>
        </w:rPr>
      </w:pPr>
    </w:p>
    <w:p w:rsidR="00A857EA" w:rsidRPr="006575ED" w:rsidRDefault="00A857EA" w:rsidP="006575ED">
      <w:pPr>
        <w:spacing w:after="0"/>
        <w:rPr>
          <w:b/>
        </w:rPr>
      </w:pPr>
      <w:r w:rsidRPr="006575ED">
        <w:rPr>
          <w:b/>
        </w:rPr>
        <w:t>ATTENDANCE POLICY</w:t>
      </w:r>
    </w:p>
    <w:p w:rsidR="00E45B3A" w:rsidRDefault="00A857EA" w:rsidP="006575ED">
      <w:pPr>
        <w:spacing w:after="0"/>
      </w:pPr>
      <w:r w:rsidRPr="006575ED">
        <w:t xml:space="preserve">Students are required to attend each class. Students should reach out to </w:t>
      </w:r>
      <w:r w:rsidR="005D2E4C">
        <w:t>the instructor or TA</w:t>
      </w:r>
      <w:r w:rsidR="006575ED">
        <w:t xml:space="preserve"> </w:t>
      </w:r>
      <w:r w:rsidRPr="006575ED">
        <w:t>regarding excused absences (for religious observances; personal, medical, and family emergencies; military service; court appearances such as jury duty). Unexcused absences will affect your course grade</w:t>
      </w:r>
      <w:r w:rsidR="00E45B3A">
        <w:t>.</w:t>
      </w:r>
    </w:p>
    <w:p w:rsidR="00E45B3A" w:rsidRDefault="00E45B3A" w:rsidP="006575ED">
      <w:pPr>
        <w:spacing w:after="0"/>
      </w:pPr>
    </w:p>
    <w:p w:rsidR="005D2E4C" w:rsidRDefault="005D2E4C" w:rsidP="005D2E4C">
      <w:pPr>
        <w:spacing w:after="0"/>
      </w:pPr>
      <w:r>
        <w:t>This course may use PollEverywhere as a tool to increase in-class student engagement. PollEverywhere may also be used to confirm</w:t>
      </w:r>
      <w:r w:rsidRPr="008360BA">
        <w:t xml:space="preserve"> student attendance and participation records</w:t>
      </w:r>
      <w:r>
        <w:t>. Students who have concerns regarding whether their responses have been recorded should contact the instructor.</w:t>
      </w:r>
      <w:r w:rsidR="00E76A20">
        <w:t xml:space="preserve"> </w:t>
      </w:r>
      <w:r>
        <w:t xml:space="preserve">If a student is absent from class and is allowed to attend a different cluster’s class meeting, it is at the discretion of the faculty member to count responses to any polls presented during this time as attendance or participation. Finally, if a student is not present in the classroom at the time of a poll (due to absences or any other reasons), the poll should not be answered. Responding to a poll when not present in the classroom is a violation of the Honor Code. </w:t>
      </w:r>
    </w:p>
    <w:p w:rsidR="00EC6D6A" w:rsidRDefault="00EC6D6A" w:rsidP="005D2E4C">
      <w:pPr>
        <w:spacing w:after="0"/>
      </w:pPr>
    </w:p>
    <w:p w:rsidR="006575ED" w:rsidRDefault="006575ED" w:rsidP="006575ED">
      <w:pPr>
        <w:spacing w:after="0"/>
        <w:rPr>
          <w:b/>
        </w:rPr>
      </w:pPr>
      <w:r w:rsidRPr="006575ED">
        <w:rPr>
          <w:b/>
        </w:rPr>
        <w:t xml:space="preserve">INCLUSION, ACCOMMODATIONS, AND SUPPORT FOR STUDENTS </w:t>
      </w:r>
    </w:p>
    <w:p w:rsidR="006575ED" w:rsidRPr="006575ED" w:rsidRDefault="006575ED" w:rsidP="006575ED">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rsidR="006575ED" w:rsidRPr="006575ED" w:rsidRDefault="006575ED" w:rsidP="006575ED">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2" w:history="1">
        <w:r w:rsidRPr="006575ED">
          <w:rPr>
            <w:rStyle w:val="Hyperlink"/>
          </w:rPr>
          <w:t>www.health.columbia.edu/docs/services/ods/index.html</w:t>
        </w:r>
      </w:hyperlink>
      <w:r w:rsidRPr="006575ED">
        <w:t xml:space="preserve"> or by contacting (212) 854-2388.</w:t>
      </w:r>
    </w:p>
    <w:p w:rsidR="006575ED" w:rsidRPr="006575ED" w:rsidRDefault="006575ED" w:rsidP="006575ED">
      <w:pPr>
        <w:spacing w:after="0"/>
      </w:pPr>
      <w:r w:rsidRPr="006575ED">
        <w:lastRenderedPageBreak/>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3" w:history="1">
        <w:r w:rsidRPr="006575ED">
          <w:rPr>
            <w:rStyle w:val="Hyperlink"/>
          </w:rPr>
          <w:t>http://sexualrespect.columbia.edu/gender-based-misconduct-policy-students</w:t>
        </w:r>
      </w:hyperlink>
      <w:r w:rsidRPr="006575ED">
        <w:t>.</w:t>
      </w:r>
    </w:p>
    <w:p w:rsidR="006575ED" w:rsidRPr="006575ED" w:rsidRDefault="006575ED" w:rsidP="006575ED"/>
    <w:p w:rsidR="006575ED" w:rsidRPr="006575ED" w:rsidRDefault="006575ED" w:rsidP="001B0143">
      <w:pPr>
        <w:pStyle w:val="ListParagraph"/>
        <w:spacing w:line="240" w:lineRule="auto"/>
      </w:pPr>
    </w:p>
    <w:sectPr w:rsidR="006575ED" w:rsidRPr="006575E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0D" w:rsidRDefault="0024560D" w:rsidP="00934BFC">
      <w:pPr>
        <w:spacing w:after="0" w:line="240" w:lineRule="auto"/>
      </w:pPr>
      <w:r>
        <w:separator/>
      </w:r>
    </w:p>
  </w:endnote>
  <w:endnote w:type="continuationSeparator" w:id="0">
    <w:p w:rsidR="0024560D" w:rsidRDefault="0024560D" w:rsidP="00934BFC">
      <w:pPr>
        <w:spacing w:after="0" w:line="240" w:lineRule="auto"/>
      </w:pPr>
      <w:r>
        <w:continuationSeparator/>
      </w:r>
    </w:p>
  </w:endnote>
  <w:endnote w:type="continuationNotice" w:id="1">
    <w:p w:rsidR="0024560D" w:rsidRDefault="00245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8F3CA5">
      <w:rPr>
        <w:b/>
        <w:noProof/>
        <w:sz w:val="20"/>
      </w:rPr>
      <w:t>6</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8F3CA5">
      <w:rPr>
        <w:b/>
        <w:noProof/>
        <w:sz w:val="20"/>
      </w:rPr>
      <w:t>6</w:t>
    </w:r>
    <w:r w:rsidR="00934BFC"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0D" w:rsidRDefault="0024560D" w:rsidP="00934BFC">
      <w:pPr>
        <w:spacing w:after="0" w:line="240" w:lineRule="auto"/>
      </w:pPr>
      <w:r>
        <w:separator/>
      </w:r>
    </w:p>
  </w:footnote>
  <w:footnote w:type="continuationSeparator" w:id="0">
    <w:p w:rsidR="0024560D" w:rsidRDefault="0024560D" w:rsidP="00934BFC">
      <w:pPr>
        <w:spacing w:after="0" w:line="240" w:lineRule="auto"/>
      </w:pPr>
      <w:r>
        <w:continuationSeparator/>
      </w:r>
    </w:p>
  </w:footnote>
  <w:footnote w:type="continuationNotice" w:id="1">
    <w:p w:rsidR="0024560D" w:rsidRDefault="002456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FC" w:rsidRDefault="00573C56" w:rsidP="00573C56">
    <w:pPr>
      <w:pStyle w:val="Header"/>
      <w:jc w:val="both"/>
    </w:pPr>
    <w:r>
      <w:rPr>
        <w:noProof/>
      </w:rPr>
      <w:ptab w:relativeTo="margin" w:alignment="left" w:leader="none"/>
    </w:r>
    <w:r w:rsidR="00934BFC">
      <w:rPr>
        <w:noProof/>
      </w:rPr>
      <w:drawing>
        <wp:inline distT="0" distB="0" distL="0" distR="0" wp14:anchorId="237EB58C" wp14:editId="4F07825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81DBA"/>
    <w:multiLevelType w:val="hybridMultilevel"/>
    <w:tmpl w:val="343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9"/>
  </w:num>
  <w:num w:numId="7">
    <w:abstractNumId w:val="7"/>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15904"/>
    <w:rsid w:val="000920E7"/>
    <w:rsid w:val="000B60C0"/>
    <w:rsid w:val="000C3925"/>
    <w:rsid w:val="000D319A"/>
    <w:rsid w:val="000E3CAE"/>
    <w:rsid w:val="00193D58"/>
    <w:rsid w:val="001A5A55"/>
    <w:rsid w:val="001B0143"/>
    <w:rsid w:val="001D55F6"/>
    <w:rsid w:val="00230BB2"/>
    <w:rsid w:val="0024560D"/>
    <w:rsid w:val="00247438"/>
    <w:rsid w:val="0028504B"/>
    <w:rsid w:val="002C3D0C"/>
    <w:rsid w:val="002F54E1"/>
    <w:rsid w:val="00314DAE"/>
    <w:rsid w:val="00347D66"/>
    <w:rsid w:val="003704E2"/>
    <w:rsid w:val="003E5E87"/>
    <w:rsid w:val="003E62EC"/>
    <w:rsid w:val="0041333B"/>
    <w:rsid w:val="0044003C"/>
    <w:rsid w:val="004657FA"/>
    <w:rsid w:val="004C46BE"/>
    <w:rsid w:val="004C4CA9"/>
    <w:rsid w:val="00526CE8"/>
    <w:rsid w:val="00535F4E"/>
    <w:rsid w:val="005505AF"/>
    <w:rsid w:val="00551DB5"/>
    <w:rsid w:val="00567FE2"/>
    <w:rsid w:val="00573C56"/>
    <w:rsid w:val="005826C4"/>
    <w:rsid w:val="00597A75"/>
    <w:rsid w:val="005A08AA"/>
    <w:rsid w:val="005A6147"/>
    <w:rsid w:val="005A7826"/>
    <w:rsid w:val="005D2E4C"/>
    <w:rsid w:val="00613EF9"/>
    <w:rsid w:val="00630F44"/>
    <w:rsid w:val="0063563F"/>
    <w:rsid w:val="006575ED"/>
    <w:rsid w:val="006756A2"/>
    <w:rsid w:val="006972E0"/>
    <w:rsid w:val="006A5E89"/>
    <w:rsid w:val="006C1B63"/>
    <w:rsid w:val="006E236A"/>
    <w:rsid w:val="006E7179"/>
    <w:rsid w:val="006F04C3"/>
    <w:rsid w:val="006F0FD7"/>
    <w:rsid w:val="006F4DCC"/>
    <w:rsid w:val="00713853"/>
    <w:rsid w:val="00715339"/>
    <w:rsid w:val="0071720B"/>
    <w:rsid w:val="00730256"/>
    <w:rsid w:val="00741BEF"/>
    <w:rsid w:val="007562E4"/>
    <w:rsid w:val="00781830"/>
    <w:rsid w:val="007E3AE2"/>
    <w:rsid w:val="007F24D6"/>
    <w:rsid w:val="007F4974"/>
    <w:rsid w:val="00803241"/>
    <w:rsid w:val="00850441"/>
    <w:rsid w:val="008A756E"/>
    <w:rsid w:val="008F3CA5"/>
    <w:rsid w:val="008F628A"/>
    <w:rsid w:val="0090549C"/>
    <w:rsid w:val="00930E8F"/>
    <w:rsid w:val="00934BFC"/>
    <w:rsid w:val="00954D45"/>
    <w:rsid w:val="009953D7"/>
    <w:rsid w:val="009A2F7B"/>
    <w:rsid w:val="00A46929"/>
    <w:rsid w:val="00A57515"/>
    <w:rsid w:val="00A636EF"/>
    <w:rsid w:val="00A675DF"/>
    <w:rsid w:val="00A75E88"/>
    <w:rsid w:val="00A857EA"/>
    <w:rsid w:val="00AB676B"/>
    <w:rsid w:val="00AD7C37"/>
    <w:rsid w:val="00AF0275"/>
    <w:rsid w:val="00AF6E46"/>
    <w:rsid w:val="00B15BBC"/>
    <w:rsid w:val="00B33648"/>
    <w:rsid w:val="00B421A0"/>
    <w:rsid w:val="00B96B85"/>
    <w:rsid w:val="00BE3659"/>
    <w:rsid w:val="00C10D1D"/>
    <w:rsid w:val="00C1780B"/>
    <w:rsid w:val="00C33F50"/>
    <w:rsid w:val="00C61DFB"/>
    <w:rsid w:val="00C84CD2"/>
    <w:rsid w:val="00CC4750"/>
    <w:rsid w:val="00CD6CA4"/>
    <w:rsid w:val="00D11355"/>
    <w:rsid w:val="00D55694"/>
    <w:rsid w:val="00D8154C"/>
    <w:rsid w:val="00D914FE"/>
    <w:rsid w:val="00D940AA"/>
    <w:rsid w:val="00D9508B"/>
    <w:rsid w:val="00DB25E4"/>
    <w:rsid w:val="00DB507F"/>
    <w:rsid w:val="00DB72B9"/>
    <w:rsid w:val="00DF407A"/>
    <w:rsid w:val="00DF7415"/>
    <w:rsid w:val="00E4027D"/>
    <w:rsid w:val="00E45B3A"/>
    <w:rsid w:val="00E76A20"/>
    <w:rsid w:val="00EC6D6A"/>
    <w:rsid w:val="00F1215B"/>
    <w:rsid w:val="00F511F7"/>
    <w:rsid w:val="00F71867"/>
    <w:rsid w:val="00F86653"/>
    <w:rsid w:val="00FC06E8"/>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69BD6"/>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nieuwe@gsb.columbia.edu" TargetMode="External"/><Relationship Id="rId13" Type="http://schemas.openxmlformats.org/officeDocument/2006/relationships/hyperlink" Target="http://sexualrespect.columbia.edu/gender-based-misconduct-policy-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olumbia.edu/docs/services/od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gsb.columbia.edu/honor/defin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B904-A1EB-4BF9-83DA-028A6F99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Stijn G Van Nieuwerburgh</cp:lastModifiedBy>
  <cp:revision>4</cp:revision>
  <cp:lastPrinted>2020-08-12T19:45:00Z</cp:lastPrinted>
  <dcterms:created xsi:type="dcterms:W3CDTF">2021-05-18T14:41:00Z</dcterms:created>
  <dcterms:modified xsi:type="dcterms:W3CDTF">2021-06-02T20:31:00Z</dcterms:modified>
</cp:coreProperties>
</file>