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E6CE" w14:textId="426BD899" w:rsidR="00D96D55" w:rsidRPr="00075F09" w:rsidRDefault="00137860" w:rsidP="00D96D55">
      <w:pPr>
        <w:spacing w:after="120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B83</w:t>
      </w:r>
      <w:r w:rsidR="002E2E92">
        <w:rPr>
          <w:rFonts w:ascii="Arial" w:hAnsi="Arial" w:cs="Arial"/>
          <w:b/>
          <w:color w:val="00B0F0"/>
          <w:sz w:val="28"/>
          <w:szCs w:val="28"/>
        </w:rPr>
        <w:t>36</w:t>
      </w:r>
      <w:r w:rsidR="00D96D55">
        <w:rPr>
          <w:rFonts w:ascii="Arial" w:hAnsi="Arial" w:cs="Arial"/>
          <w:b/>
          <w:color w:val="00B0F0"/>
          <w:sz w:val="28"/>
          <w:szCs w:val="28"/>
        </w:rPr>
        <w:t xml:space="preserve">: Real Estate </w:t>
      </w:r>
      <w:r w:rsidR="00E32884">
        <w:rPr>
          <w:rFonts w:ascii="Arial" w:hAnsi="Arial" w:cs="Arial"/>
          <w:b/>
          <w:color w:val="00B0F0"/>
          <w:sz w:val="28"/>
          <w:szCs w:val="28"/>
        </w:rPr>
        <w:t>Portfolio Management</w:t>
      </w:r>
      <w:r>
        <w:rPr>
          <w:rFonts w:ascii="Arial" w:hAnsi="Arial" w:cs="Arial"/>
          <w:b/>
          <w:color w:val="00B0F0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</w:tblGrid>
      <w:tr w:rsidR="00E32884" w:rsidRPr="0064579D" w14:paraId="5CE36B52" w14:textId="77777777">
        <w:tc>
          <w:tcPr>
            <w:tcW w:w="4428" w:type="dxa"/>
          </w:tcPr>
          <w:p w14:paraId="4D374874" w14:textId="1E61DC19" w:rsidR="00E32884" w:rsidRPr="0064579D" w:rsidRDefault="00E32884" w:rsidP="00D96D55">
            <w:pPr>
              <w:ind w:left="252" w:hanging="252"/>
              <w:rPr>
                <w:rFonts w:ascii="Arial" w:hAnsi="Arial" w:cs="Arial"/>
                <w:b/>
              </w:rPr>
            </w:pPr>
            <w:r>
              <w:rPr>
                <w:sz w:val="22"/>
                <w:szCs w:val="22"/>
              </w:rPr>
              <w:t xml:space="preserve">Prof. </w:t>
            </w:r>
            <w:r w:rsidRPr="0064579D">
              <w:rPr>
                <w:sz w:val="22"/>
                <w:szCs w:val="22"/>
              </w:rPr>
              <w:t>Michael Giliberto</w:t>
            </w:r>
          </w:p>
        </w:tc>
      </w:tr>
      <w:tr w:rsidR="00E32884" w:rsidRPr="003F70C0" w14:paraId="3BD1FB60" w14:textId="77777777">
        <w:tc>
          <w:tcPr>
            <w:tcW w:w="4428" w:type="dxa"/>
          </w:tcPr>
          <w:p w14:paraId="5B67E53B" w14:textId="77777777" w:rsidR="00E32884" w:rsidRPr="003F70C0" w:rsidRDefault="00E32884" w:rsidP="00D96D55">
            <w:pPr>
              <w:ind w:left="-18" w:firstLine="18"/>
              <w:rPr>
                <w:sz w:val="22"/>
                <w:szCs w:val="22"/>
              </w:rPr>
            </w:pPr>
            <w:r w:rsidRPr="003F70C0">
              <w:rPr>
                <w:sz w:val="22"/>
                <w:szCs w:val="22"/>
              </w:rPr>
              <w:t>mg2786@columbia.edu</w:t>
            </w:r>
          </w:p>
        </w:tc>
      </w:tr>
    </w:tbl>
    <w:p w14:paraId="01A55DC8" w14:textId="77777777" w:rsidR="00D96D55" w:rsidRPr="003F70C0" w:rsidRDefault="00D96D55" w:rsidP="00D96D55">
      <w:pPr>
        <w:spacing w:before="240" w:after="240"/>
        <w:rPr>
          <w:b/>
        </w:rPr>
      </w:pPr>
      <w:r w:rsidRPr="003F70C0">
        <w:rPr>
          <w:b/>
        </w:rPr>
        <w:t>Course Description</w:t>
      </w:r>
    </w:p>
    <w:p w14:paraId="71E9D45D" w14:textId="1E90C622" w:rsidR="00E90FA1" w:rsidRDefault="00E90FA1" w:rsidP="00E90FA1">
      <w:r w:rsidRPr="00305576">
        <w:t>This six-</w:t>
      </w:r>
      <w:r>
        <w:t xml:space="preserve">session </w:t>
      </w:r>
      <w:r w:rsidRPr="00305576">
        <w:t xml:space="preserve">course (offered </w:t>
      </w:r>
      <w:r>
        <w:t>A</w:t>
      </w:r>
      <w:r w:rsidRPr="00305576">
        <w:t xml:space="preserve"> term </w:t>
      </w:r>
      <w:r>
        <w:t>fall</w:t>
      </w:r>
      <w:r w:rsidRPr="00305576">
        <w:t xml:space="preserve"> 20</w:t>
      </w:r>
      <w:r>
        <w:t>2</w:t>
      </w:r>
      <w:r>
        <w:t>1</w:t>
      </w:r>
      <w:r w:rsidRPr="00305576">
        <w:t xml:space="preserve">) </w:t>
      </w:r>
      <w:r w:rsidRPr="00305576">
        <w:rPr>
          <w:rFonts w:eastAsia="Times New Roman"/>
          <w:color w:val="000000"/>
          <w:lang w:eastAsia="en-US"/>
        </w:rPr>
        <w:t>provide</w:t>
      </w:r>
      <w:r>
        <w:rPr>
          <w:rFonts w:eastAsia="Times New Roman"/>
          <w:color w:val="000000"/>
          <w:lang w:eastAsia="en-US"/>
        </w:rPr>
        <w:t>s</w:t>
      </w:r>
      <w:r w:rsidRPr="00305576">
        <w:rPr>
          <w:rFonts w:eastAsia="Times New Roman"/>
          <w:color w:val="000000"/>
          <w:lang w:eastAsia="en-US"/>
        </w:rPr>
        <w:t xml:space="preserve"> students with an </w:t>
      </w:r>
      <w:r>
        <w:rPr>
          <w:rFonts w:eastAsia="Times New Roman"/>
          <w:color w:val="000000"/>
          <w:lang w:eastAsia="en-US"/>
        </w:rPr>
        <w:t>introduction to the c</w:t>
      </w:r>
      <w:r w:rsidRPr="00305576">
        <w:rPr>
          <w:rFonts w:eastAsia="Times New Roman"/>
          <w:color w:val="000000"/>
          <w:lang w:eastAsia="en-US"/>
        </w:rPr>
        <w:t xml:space="preserve">hallenges </w:t>
      </w:r>
      <w:r>
        <w:rPr>
          <w:rFonts w:eastAsia="Times New Roman"/>
          <w:color w:val="000000"/>
          <w:lang w:eastAsia="en-US"/>
        </w:rPr>
        <w:t xml:space="preserve">and decisions faced by </w:t>
      </w:r>
      <w:r w:rsidRPr="00305576">
        <w:rPr>
          <w:rFonts w:eastAsia="Times New Roman"/>
          <w:color w:val="000000"/>
          <w:lang w:eastAsia="en-US"/>
        </w:rPr>
        <w:t>portfolio managers</w:t>
      </w:r>
      <w:r>
        <w:rPr>
          <w:rFonts w:eastAsia="Times New Roman"/>
          <w:color w:val="000000"/>
          <w:lang w:eastAsia="en-US"/>
        </w:rPr>
        <w:t xml:space="preserve"> that primarily own and operate buildings.</w:t>
      </w:r>
      <w:r w:rsidRPr="00305576">
        <w:t xml:space="preserve"> </w:t>
      </w:r>
      <w:r>
        <w:t>The course does not cover investing in real estate securities.</w:t>
      </w:r>
    </w:p>
    <w:p w14:paraId="3284DEDC" w14:textId="77777777" w:rsidR="00E90FA1" w:rsidRDefault="00E90FA1" w:rsidP="00E90FA1"/>
    <w:p w14:paraId="2E666721" w14:textId="77777777" w:rsidR="00E90FA1" w:rsidRDefault="00E90FA1" w:rsidP="00E90FA1">
      <w:r>
        <w:t xml:space="preserve">The </w:t>
      </w:r>
      <w:r w:rsidRPr="00305576">
        <w:t xml:space="preserve">focus </w:t>
      </w:r>
      <w:r>
        <w:t xml:space="preserve">is </w:t>
      </w:r>
      <w:r w:rsidRPr="00305576">
        <w:t xml:space="preserve">“macro” </w:t>
      </w:r>
      <w:r>
        <w:t xml:space="preserve">or top-down </w:t>
      </w:r>
      <w:r w:rsidRPr="00305576">
        <w:t>aspects of portfolio management</w:t>
      </w:r>
      <w:r>
        <w:t xml:space="preserve">, such as strategy and diversification. Topics include: </w:t>
      </w:r>
    </w:p>
    <w:p w14:paraId="4B04DF3A" w14:textId="77777777" w:rsidR="009E3609" w:rsidRDefault="009E3609" w:rsidP="00944CB6"/>
    <w:p w14:paraId="14F48179" w14:textId="16D769E7" w:rsidR="009E3609" w:rsidRDefault="007861E6" w:rsidP="006F46FF">
      <w:pPr>
        <w:pStyle w:val="ListParagraph"/>
        <w:numPr>
          <w:ilvl w:val="0"/>
          <w:numId w:val="16"/>
        </w:numPr>
      </w:pPr>
      <w:r>
        <w:t>K</w:t>
      </w:r>
      <w:r w:rsidR="009E3609">
        <w:t xml:space="preserve">ey decisions </w:t>
      </w:r>
      <w:r>
        <w:t xml:space="preserve">that </w:t>
      </w:r>
      <w:r w:rsidR="009E3609">
        <w:t xml:space="preserve">affect </w:t>
      </w:r>
      <w:r w:rsidR="00B466F5">
        <w:t xml:space="preserve">portfolio </w:t>
      </w:r>
      <w:r w:rsidR="009E3609">
        <w:t xml:space="preserve">performance </w:t>
      </w:r>
    </w:p>
    <w:p w14:paraId="42CB53F7" w14:textId="77777777" w:rsidR="009E3609" w:rsidRDefault="009E3609" w:rsidP="00944CB6"/>
    <w:p w14:paraId="55BF7F22" w14:textId="3D97BBD7" w:rsidR="002855BF" w:rsidRDefault="007861E6" w:rsidP="00944CB6">
      <w:pPr>
        <w:pStyle w:val="ListParagraph"/>
        <w:numPr>
          <w:ilvl w:val="0"/>
          <w:numId w:val="16"/>
        </w:numPr>
      </w:pPr>
      <w:r>
        <w:t>Assessing alpha opportunities</w:t>
      </w:r>
    </w:p>
    <w:p w14:paraId="12B70509" w14:textId="77777777" w:rsidR="007861E6" w:rsidRDefault="007861E6" w:rsidP="007861E6"/>
    <w:p w14:paraId="010E0A8A" w14:textId="6B685BEF" w:rsidR="007861E6" w:rsidRDefault="007861E6" w:rsidP="00944CB6">
      <w:pPr>
        <w:pStyle w:val="ListParagraph"/>
        <w:numPr>
          <w:ilvl w:val="0"/>
          <w:numId w:val="16"/>
        </w:numPr>
      </w:pPr>
      <w:r>
        <w:t>Evaluating risk-return tradeoffs</w:t>
      </w:r>
    </w:p>
    <w:p w14:paraId="68723E37" w14:textId="77777777" w:rsidR="00BD0F58" w:rsidRDefault="00BD0F58" w:rsidP="00F0127B">
      <w:pPr>
        <w:rPr>
          <w:rFonts w:eastAsia="Times New Roman"/>
          <w:color w:val="000000"/>
          <w:lang w:eastAsia="en-US"/>
        </w:rPr>
      </w:pPr>
    </w:p>
    <w:p w14:paraId="32005BC8" w14:textId="2A9AA3AC" w:rsidR="00E90FA1" w:rsidRDefault="00E90FA1" w:rsidP="00E90FA1">
      <w:pPr>
        <w:rPr>
          <w:rFonts w:eastAsia="Times New Roman"/>
          <w:color w:val="000000"/>
          <w:lang w:eastAsia="en-US"/>
        </w:rPr>
      </w:pPr>
      <w:r>
        <w:t xml:space="preserve">Buy/hold/sell </w:t>
      </w:r>
      <w:r w:rsidRPr="00305576">
        <w:t xml:space="preserve">decisions </w:t>
      </w:r>
      <w:r>
        <w:t xml:space="preserve">for an </w:t>
      </w:r>
      <w:r w:rsidRPr="00305576">
        <w:t>individual asset</w:t>
      </w:r>
      <w:r>
        <w:t xml:space="preserve"> in a portfolio context are discussed, but this course does </w:t>
      </w:r>
      <w:r>
        <w:t xml:space="preserve">not cover </w:t>
      </w:r>
      <w:r>
        <w:t>deal analysis</w:t>
      </w:r>
      <w:r>
        <w:t xml:space="preserve"> and transaction execution.</w:t>
      </w:r>
    </w:p>
    <w:p w14:paraId="20C2D3C4" w14:textId="77777777" w:rsidR="00E90FA1" w:rsidRDefault="00E90FA1" w:rsidP="00F0127B">
      <w:pPr>
        <w:rPr>
          <w:rFonts w:eastAsia="Times New Roman"/>
          <w:color w:val="000000"/>
          <w:lang w:eastAsia="en-US"/>
        </w:rPr>
      </w:pPr>
    </w:p>
    <w:p w14:paraId="5EA9DC3C" w14:textId="0814CB2B" w:rsidR="00D96D55" w:rsidRDefault="00AF0902" w:rsidP="00F0127B">
      <w:pPr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After completing t</w:t>
      </w:r>
      <w:r w:rsidR="00D96D55" w:rsidRPr="00305576">
        <w:rPr>
          <w:rFonts w:eastAsia="Times New Roman"/>
          <w:color w:val="000000"/>
          <w:lang w:eastAsia="en-US"/>
        </w:rPr>
        <w:t xml:space="preserve">his course </w:t>
      </w:r>
      <w:r>
        <w:rPr>
          <w:rFonts w:eastAsia="Times New Roman"/>
          <w:color w:val="000000"/>
          <w:lang w:eastAsia="en-US"/>
        </w:rPr>
        <w:t>s</w:t>
      </w:r>
      <w:r w:rsidR="00AA4D51" w:rsidRPr="00305576">
        <w:rPr>
          <w:rFonts w:eastAsia="Times New Roman"/>
          <w:color w:val="000000"/>
          <w:lang w:eastAsia="en-US"/>
        </w:rPr>
        <w:t xml:space="preserve">tudents </w:t>
      </w:r>
      <w:r w:rsidR="007861E6">
        <w:rPr>
          <w:rFonts w:eastAsia="Times New Roman"/>
          <w:color w:val="000000"/>
          <w:lang w:eastAsia="en-US"/>
        </w:rPr>
        <w:t>will</w:t>
      </w:r>
      <w:r w:rsidR="00AF1193">
        <w:rPr>
          <w:rFonts w:eastAsia="Times New Roman"/>
          <w:color w:val="000000"/>
          <w:lang w:eastAsia="en-US"/>
        </w:rPr>
        <w:t xml:space="preserve"> be</w:t>
      </w:r>
      <w:r w:rsidR="00AA4D51" w:rsidRPr="00305576">
        <w:rPr>
          <w:rFonts w:eastAsia="Times New Roman"/>
          <w:color w:val="000000"/>
          <w:lang w:eastAsia="en-US"/>
        </w:rPr>
        <w:t xml:space="preserve"> familiar with </w:t>
      </w:r>
      <w:r>
        <w:rPr>
          <w:rFonts w:eastAsia="Times New Roman"/>
          <w:color w:val="000000"/>
          <w:lang w:eastAsia="en-US"/>
        </w:rPr>
        <w:t>issues</w:t>
      </w:r>
      <w:r w:rsidR="00AA4D51" w:rsidRPr="00305576">
        <w:rPr>
          <w:rFonts w:eastAsia="Times New Roman"/>
          <w:color w:val="000000"/>
          <w:lang w:eastAsia="en-US"/>
        </w:rPr>
        <w:t xml:space="preserve"> that arise in </w:t>
      </w:r>
      <w:r w:rsidR="00F740F2">
        <w:rPr>
          <w:rFonts w:eastAsia="Times New Roman"/>
          <w:color w:val="000000"/>
          <w:lang w:eastAsia="en-US"/>
        </w:rPr>
        <w:t xml:space="preserve">constructing and managing a real estate portfolio, including elements of </w:t>
      </w:r>
      <w:r w:rsidR="00AF1193">
        <w:rPr>
          <w:rFonts w:eastAsia="Times New Roman"/>
          <w:color w:val="000000"/>
          <w:lang w:eastAsia="en-US"/>
        </w:rPr>
        <w:t>portfolio st</w:t>
      </w:r>
      <w:r w:rsidR="00EC01D0" w:rsidRPr="00305576">
        <w:rPr>
          <w:rFonts w:eastAsia="Times New Roman"/>
          <w:color w:val="000000"/>
          <w:lang w:eastAsia="en-US"/>
        </w:rPr>
        <w:t>rategy, managing diversification</w:t>
      </w:r>
      <w:r w:rsidR="00EF291F">
        <w:rPr>
          <w:rFonts w:eastAsia="Times New Roman"/>
          <w:color w:val="000000"/>
          <w:lang w:eastAsia="en-US"/>
        </w:rPr>
        <w:t xml:space="preserve">, </w:t>
      </w:r>
      <w:r w:rsidR="00AF1193">
        <w:rPr>
          <w:rFonts w:eastAsia="Times New Roman"/>
          <w:color w:val="000000"/>
          <w:lang w:eastAsia="en-US"/>
        </w:rPr>
        <w:t>liquidity</w:t>
      </w:r>
      <w:r w:rsidR="00EF291F">
        <w:rPr>
          <w:rFonts w:eastAsia="Times New Roman"/>
          <w:color w:val="000000"/>
          <w:lang w:eastAsia="en-US"/>
        </w:rPr>
        <w:t xml:space="preserve"> and risk</w:t>
      </w:r>
      <w:r w:rsidR="00AF1193">
        <w:rPr>
          <w:rFonts w:eastAsia="Times New Roman"/>
          <w:color w:val="000000"/>
          <w:lang w:eastAsia="en-US"/>
        </w:rPr>
        <w:t xml:space="preserve"> </w:t>
      </w:r>
      <w:r w:rsidR="00EC01D0" w:rsidRPr="00305576">
        <w:rPr>
          <w:rFonts w:eastAsia="Times New Roman"/>
          <w:color w:val="000000"/>
          <w:lang w:eastAsia="en-US"/>
        </w:rPr>
        <w:t xml:space="preserve">and </w:t>
      </w:r>
      <w:r w:rsidR="00EF291F">
        <w:rPr>
          <w:rFonts w:eastAsia="Times New Roman"/>
          <w:color w:val="000000"/>
          <w:lang w:eastAsia="en-US"/>
        </w:rPr>
        <w:t>evaluating</w:t>
      </w:r>
      <w:r w:rsidR="00EC01D0" w:rsidRPr="00305576">
        <w:rPr>
          <w:rFonts w:eastAsia="Times New Roman"/>
          <w:color w:val="000000"/>
          <w:lang w:eastAsia="en-US"/>
        </w:rPr>
        <w:t xml:space="preserve"> performance.</w:t>
      </w:r>
    </w:p>
    <w:p w14:paraId="6CFDD316" w14:textId="77777777" w:rsidR="00466D99" w:rsidRDefault="00466D99" w:rsidP="00F0127B">
      <w:pPr>
        <w:rPr>
          <w:rFonts w:eastAsia="Times New Roman"/>
          <w:color w:val="000000"/>
          <w:lang w:eastAsia="en-US"/>
        </w:rPr>
      </w:pPr>
    </w:p>
    <w:p w14:paraId="6097EA34" w14:textId="054A3D6F" w:rsidR="00466D99" w:rsidRDefault="00466D99" w:rsidP="00F0127B">
      <w:r w:rsidRPr="0009744E">
        <w:rPr>
          <w:rFonts w:eastAsia="Times New Roman"/>
          <w:bCs/>
          <w:color w:val="000000"/>
          <w:u w:val="single"/>
          <w:lang w:eastAsia="en-US"/>
        </w:rPr>
        <w:t>Prerequisite:</w:t>
      </w:r>
      <w:r>
        <w:rPr>
          <w:rFonts w:eastAsia="Times New Roman"/>
          <w:color w:val="000000"/>
          <w:lang w:eastAsia="en-US"/>
        </w:rPr>
        <w:t xml:space="preserve"> Real Estate Finance (B8</w:t>
      </w:r>
      <w:r w:rsidR="000D1DCC">
        <w:rPr>
          <w:rFonts w:eastAsia="Times New Roman"/>
          <w:color w:val="000000"/>
          <w:lang w:eastAsia="en-US"/>
        </w:rPr>
        <w:t>331</w:t>
      </w:r>
      <w:r>
        <w:rPr>
          <w:rFonts w:eastAsia="Times New Roman"/>
          <w:color w:val="000000"/>
          <w:lang w:eastAsia="en-US"/>
        </w:rPr>
        <w:t xml:space="preserve">) </w:t>
      </w:r>
      <w:r w:rsidR="000D1DCC">
        <w:rPr>
          <w:rFonts w:eastAsia="Times New Roman"/>
          <w:color w:val="000000"/>
          <w:lang w:eastAsia="en-US"/>
        </w:rPr>
        <w:t xml:space="preserve">and its prerequisites </w:t>
      </w:r>
      <w:r>
        <w:rPr>
          <w:rFonts w:eastAsia="Times New Roman"/>
          <w:color w:val="000000"/>
          <w:lang w:eastAsia="en-US"/>
        </w:rPr>
        <w:t xml:space="preserve">or successful completion of the REF exemption exam. </w:t>
      </w:r>
      <w:r w:rsidRPr="000D1DCC">
        <w:rPr>
          <w:rFonts w:eastAsia="Times New Roman"/>
          <w:i/>
          <w:color w:val="000000"/>
          <w:lang w:eastAsia="en-US"/>
        </w:rPr>
        <w:t>There are no exceptions</w:t>
      </w:r>
      <w:r>
        <w:rPr>
          <w:rFonts w:eastAsia="Times New Roman"/>
          <w:color w:val="000000"/>
          <w:lang w:eastAsia="en-US"/>
        </w:rPr>
        <w:t xml:space="preserve">. (Contact the MBA Real Estate Program office for information on the </w:t>
      </w:r>
      <w:r w:rsidR="00F740F2">
        <w:rPr>
          <w:rFonts w:eastAsia="Times New Roman"/>
          <w:color w:val="000000"/>
          <w:lang w:eastAsia="en-US"/>
        </w:rPr>
        <w:t xml:space="preserve">placement </w:t>
      </w:r>
      <w:r>
        <w:rPr>
          <w:rFonts w:eastAsia="Times New Roman"/>
          <w:color w:val="000000"/>
          <w:lang w:eastAsia="en-US"/>
        </w:rPr>
        <w:t xml:space="preserve">exam.) </w:t>
      </w:r>
      <w:r w:rsidR="00F740F2">
        <w:t xml:space="preserve">Students who have </w:t>
      </w:r>
      <w:r w:rsidR="00081CB1">
        <w:t xml:space="preserve">no background in </w:t>
      </w:r>
      <w:r w:rsidR="00384609">
        <w:t>real estate capital ma</w:t>
      </w:r>
      <w:r w:rsidR="00F740F2">
        <w:t>rkets should expect</w:t>
      </w:r>
      <w:r w:rsidR="000D1DCC">
        <w:t xml:space="preserve"> to undertake</w:t>
      </w:r>
      <w:r w:rsidR="00F740F2">
        <w:t xml:space="preserve"> additional readings and preparation.</w:t>
      </w:r>
      <w:r w:rsidR="00623782">
        <w:t xml:space="preserve"> </w:t>
      </w:r>
      <w:r w:rsidR="00E90FA1" w:rsidRPr="0021609C">
        <w:rPr>
          <w:b/>
          <w:bCs/>
        </w:rPr>
        <w:t>A list of material you are expected to know</w:t>
      </w:r>
      <w:r w:rsidR="00E90FA1">
        <w:rPr>
          <w:b/>
          <w:bCs/>
        </w:rPr>
        <w:t>, but which</w:t>
      </w:r>
      <w:r w:rsidR="00E90FA1" w:rsidRPr="0021609C">
        <w:rPr>
          <w:b/>
          <w:bCs/>
        </w:rPr>
        <w:t xml:space="preserve"> will not be taught in class</w:t>
      </w:r>
      <w:r w:rsidR="00E90FA1">
        <w:rPr>
          <w:b/>
          <w:bCs/>
        </w:rPr>
        <w:t>,</w:t>
      </w:r>
      <w:r w:rsidR="00E90FA1" w:rsidRPr="0021609C">
        <w:rPr>
          <w:b/>
          <w:bCs/>
        </w:rPr>
        <w:t xml:space="preserve"> is attached to this syllabus</w:t>
      </w:r>
      <w:r w:rsidR="00E90FA1">
        <w:t>.</w:t>
      </w:r>
    </w:p>
    <w:p w14:paraId="3BF1B5FB" w14:textId="77777777" w:rsidR="009E3609" w:rsidRDefault="009E3609" w:rsidP="00F0127B"/>
    <w:p w14:paraId="05FF8C2E" w14:textId="57C348EA" w:rsidR="009E3609" w:rsidRDefault="009E3609" w:rsidP="00F0127B">
      <w:r w:rsidRPr="009E3609">
        <w:rPr>
          <w:b/>
        </w:rPr>
        <w:t xml:space="preserve">Attending the first session is </w:t>
      </w:r>
      <w:r w:rsidR="00081CB1">
        <w:rPr>
          <w:b/>
        </w:rPr>
        <w:t>strongly encouraged</w:t>
      </w:r>
      <w:r>
        <w:t>. Since the class meets only six times, roughly 15% of course material will be covered on Day 1.</w:t>
      </w:r>
      <w:r w:rsidR="005F52C6">
        <w:t xml:space="preserve"> A short assignment </w:t>
      </w:r>
      <w:r w:rsidR="00EF291F">
        <w:t xml:space="preserve">is </w:t>
      </w:r>
      <w:r w:rsidR="005F52C6">
        <w:t xml:space="preserve">due at the first session. This assignment </w:t>
      </w:r>
      <w:r w:rsidR="00451FE7">
        <w:t>counts f</w:t>
      </w:r>
      <w:r w:rsidR="005F52C6">
        <w:t xml:space="preserve">or class participation, </w:t>
      </w:r>
      <w:r w:rsidR="00451FE7">
        <w:t>although it will not be graded. Y</w:t>
      </w:r>
      <w:r w:rsidR="005F52C6">
        <w:t>ou may be called upon to answer questions about the assignment in class.</w:t>
      </w:r>
    </w:p>
    <w:p w14:paraId="4BDF2755" w14:textId="4AF4C3E4" w:rsidR="00623782" w:rsidRDefault="00623782" w:rsidP="00F0127B"/>
    <w:p w14:paraId="35337359" w14:textId="77777777" w:rsidR="00EF291F" w:rsidRDefault="00EF291F">
      <w:pPr>
        <w:rPr>
          <w:b/>
        </w:rPr>
      </w:pPr>
      <w:r>
        <w:rPr>
          <w:b/>
        </w:rPr>
        <w:br w:type="page"/>
      </w:r>
    </w:p>
    <w:p w14:paraId="126E4BDC" w14:textId="77777777" w:rsidR="00D96D55" w:rsidRPr="00305576" w:rsidRDefault="00D96D55" w:rsidP="00D96D55">
      <w:pPr>
        <w:spacing w:before="240" w:after="240"/>
        <w:rPr>
          <w:b/>
        </w:rPr>
      </w:pPr>
      <w:r w:rsidRPr="00305576">
        <w:rPr>
          <w:b/>
        </w:rPr>
        <w:lastRenderedPageBreak/>
        <w:t>Method of Instruction</w:t>
      </w:r>
    </w:p>
    <w:p w14:paraId="4D2FCE97" w14:textId="3382EAA8" w:rsidR="00AF0902" w:rsidRPr="00305576" w:rsidRDefault="00AF0902" w:rsidP="00AF0902">
      <w:r w:rsidRPr="00305576">
        <w:t>Class sessions will be made up of lectures, guest speaker</w:t>
      </w:r>
      <w:r w:rsidR="00CF672F">
        <w:t>s</w:t>
      </w:r>
      <w:r>
        <w:t xml:space="preserve"> </w:t>
      </w:r>
      <w:r w:rsidR="00E87A33">
        <w:t>and discussions</w:t>
      </w:r>
      <w:r w:rsidRPr="00305576">
        <w:t xml:space="preserve">. </w:t>
      </w:r>
    </w:p>
    <w:p w14:paraId="1D7D37AF" w14:textId="76D93506" w:rsidR="00D96D55" w:rsidRPr="00305576" w:rsidRDefault="00D96D55" w:rsidP="00D96D55">
      <w:pPr>
        <w:spacing w:before="240" w:after="240"/>
      </w:pPr>
      <w:r w:rsidRPr="00305576">
        <w:t xml:space="preserve">Pre-reading assignments will </w:t>
      </w:r>
      <w:r w:rsidR="00CC7D8D" w:rsidRPr="00305576">
        <w:t xml:space="preserve">be posted to </w:t>
      </w:r>
      <w:r w:rsidR="00F37FA9" w:rsidRPr="00305576">
        <w:t>Canvas</w:t>
      </w:r>
      <w:r w:rsidRPr="00305576">
        <w:t>.  All reading assignments must be completed prior to the class session.</w:t>
      </w:r>
      <w:r w:rsidR="00A8261F">
        <w:t xml:space="preserve"> </w:t>
      </w:r>
    </w:p>
    <w:p w14:paraId="67CE06B2" w14:textId="77777777" w:rsidR="00D96D55" w:rsidRPr="00305576" w:rsidRDefault="00D96D55" w:rsidP="00D96D55">
      <w:pPr>
        <w:spacing w:before="240" w:after="240"/>
        <w:rPr>
          <w:b/>
        </w:rPr>
      </w:pPr>
      <w:r w:rsidRPr="00305576">
        <w:rPr>
          <w:b/>
        </w:rPr>
        <w:t>Expectations and Grading</w:t>
      </w:r>
    </w:p>
    <w:p w14:paraId="79B2CAA7" w14:textId="71246C20" w:rsidR="007861E6" w:rsidRDefault="0090151A" w:rsidP="007861E6">
      <w:pPr>
        <w:spacing w:after="120"/>
      </w:pPr>
      <w:r>
        <w:t>G</w:t>
      </w:r>
      <w:r w:rsidR="007861E6" w:rsidRPr="00305576">
        <w:t xml:space="preserve">rade distribution </w:t>
      </w:r>
      <w:r>
        <w:t xml:space="preserve">will be </w:t>
      </w:r>
      <w:r w:rsidR="007861E6" w:rsidRPr="00305576">
        <w:t xml:space="preserve">consistent with that promulgated by </w:t>
      </w:r>
      <w:r>
        <w:t>CBS</w:t>
      </w:r>
      <w:r w:rsidR="007861E6" w:rsidRPr="00305576">
        <w:t xml:space="preserve"> for elective courses.</w:t>
      </w:r>
    </w:p>
    <w:p w14:paraId="65E3B780" w14:textId="338533FA" w:rsidR="00D96D55" w:rsidRPr="00305576" w:rsidRDefault="00D96D55" w:rsidP="00D96D55">
      <w:pPr>
        <w:spacing w:after="120"/>
      </w:pPr>
      <w:r w:rsidRPr="00305576">
        <w:t xml:space="preserve">Grading </w:t>
      </w:r>
      <w:r w:rsidR="00EF291F">
        <w:t>is</w:t>
      </w:r>
      <w:r w:rsidRPr="00305576">
        <w:t xml:space="preserve"> based on two components</w:t>
      </w:r>
      <w:r w:rsidR="0009744E">
        <w:t>;</w:t>
      </w:r>
    </w:p>
    <w:p w14:paraId="392D6046" w14:textId="3039C151" w:rsidR="00752755" w:rsidRPr="0009744E" w:rsidRDefault="00D96D55" w:rsidP="00D96D55">
      <w:pPr>
        <w:spacing w:after="120"/>
        <w:rPr>
          <w:bCs/>
          <w:u w:val="single"/>
        </w:rPr>
      </w:pPr>
      <w:r w:rsidRPr="0009744E">
        <w:rPr>
          <w:bCs/>
          <w:u w:val="single"/>
        </w:rPr>
        <w:t xml:space="preserve">Written assignments </w:t>
      </w:r>
      <w:r w:rsidR="00FD64AD" w:rsidRPr="0009744E">
        <w:rPr>
          <w:bCs/>
          <w:u w:val="single"/>
        </w:rPr>
        <w:t>(80</w:t>
      </w:r>
      <w:r w:rsidRPr="0009744E">
        <w:rPr>
          <w:bCs/>
          <w:u w:val="single"/>
        </w:rPr>
        <w:t>%)</w:t>
      </w:r>
      <w:r w:rsidR="00752755" w:rsidRPr="0009744E">
        <w:rPr>
          <w:bCs/>
          <w:color w:val="00B0F0"/>
          <w:u w:val="single"/>
        </w:rPr>
        <w:t xml:space="preserve"> </w:t>
      </w:r>
    </w:p>
    <w:p w14:paraId="24A62162" w14:textId="5AF03059" w:rsidR="00752755" w:rsidRDefault="006C64ED" w:rsidP="00D96D55">
      <w:pPr>
        <w:spacing w:after="120"/>
      </w:pPr>
      <w:r>
        <w:t xml:space="preserve">There will be three </w:t>
      </w:r>
      <w:r w:rsidR="00451FE7">
        <w:t xml:space="preserve">graded </w:t>
      </w:r>
      <w:r>
        <w:t xml:space="preserve">written assignments. These </w:t>
      </w:r>
      <w:r w:rsidR="00752755" w:rsidRPr="00305576">
        <w:t>assignments are done in teams</w:t>
      </w:r>
      <w:r w:rsidR="006A598B">
        <w:t>, limited to four members at most</w:t>
      </w:r>
      <w:r w:rsidR="00752755" w:rsidRPr="00305576">
        <w:t>. Each team turns in a single paper</w:t>
      </w:r>
      <w:r w:rsidR="00A8261F">
        <w:t>,</w:t>
      </w:r>
      <w:r w:rsidR="00752755" w:rsidRPr="00305576">
        <w:t xml:space="preserve"> and all members receive the same grade for the assignment.</w:t>
      </w:r>
      <w:r>
        <w:t xml:space="preserve"> The final project will be due after class sessions end. The final project is weighted more heavily</w:t>
      </w:r>
      <w:r w:rsidR="00921268">
        <w:t xml:space="preserve"> than the other two assignments (20/20/40 usually).</w:t>
      </w:r>
    </w:p>
    <w:p w14:paraId="25026FD0" w14:textId="61B38D67" w:rsidR="00704AD5" w:rsidRPr="00305576" w:rsidRDefault="00704AD5" w:rsidP="00704AD5">
      <w:pPr>
        <w:spacing w:before="240" w:after="240"/>
      </w:pPr>
      <w:r>
        <w:rPr>
          <w:rFonts w:eastAsia="Times New Roman"/>
          <w:color w:val="000000"/>
          <w:lang w:eastAsia="en-US"/>
        </w:rPr>
        <w:t>The assignment</w:t>
      </w:r>
      <w:r w:rsidR="00EF291F">
        <w:rPr>
          <w:rFonts w:eastAsia="Times New Roman"/>
          <w:color w:val="000000"/>
          <w:lang w:eastAsia="en-US"/>
        </w:rPr>
        <w:t>s</w:t>
      </w:r>
      <w:r>
        <w:rPr>
          <w:rFonts w:eastAsia="Times New Roman"/>
          <w:color w:val="000000"/>
          <w:lang w:eastAsia="en-US"/>
        </w:rPr>
        <w:t xml:space="preserve"> </w:t>
      </w:r>
      <w:r w:rsidR="004E21C4">
        <w:rPr>
          <w:rFonts w:eastAsia="Times New Roman"/>
          <w:color w:val="000000"/>
          <w:lang w:eastAsia="en-US"/>
        </w:rPr>
        <w:t xml:space="preserve">likely </w:t>
      </w:r>
      <w:r>
        <w:rPr>
          <w:rFonts w:eastAsia="Times New Roman"/>
          <w:color w:val="000000"/>
          <w:lang w:eastAsia="en-US"/>
        </w:rPr>
        <w:t>will be posted on Canvas by the time class begins. You are encouraged to read them in advance</w:t>
      </w:r>
      <w:r w:rsidR="00B91812">
        <w:rPr>
          <w:rFonts w:eastAsia="Times New Roman"/>
          <w:color w:val="000000"/>
          <w:lang w:eastAsia="en-US"/>
        </w:rPr>
        <w:t xml:space="preserve"> so you can </w:t>
      </w:r>
      <w:r w:rsidR="0090151A">
        <w:rPr>
          <w:rFonts w:eastAsia="Times New Roman"/>
          <w:color w:val="000000"/>
          <w:lang w:eastAsia="en-US"/>
        </w:rPr>
        <w:t xml:space="preserve">identify relevant </w:t>
      </w:r>
      <w:r w:rsidR="00B91812">
        <w:rPr>
          <w:rFonts w:eastAsia="Times New Roman"/>
          <w:color w:val="000000"/>
          <w:lang w:eastAsia="en-US"/>
        </w:rPr>
        <w:t xml:space="preserve">concepts and ideas </w:t>
      </w:r>
      <w:r w:rsidR="005F1E09">
        <w:rPr>
          <w:rFonts w:eastAsia="Times New Roman"/>
          <w:color w:val="000000"/>
          <w:lang w:eastAsia="en-US"/>
        </w:rPr>
        <w:t xml:space="preserve">that come up in </w:t>
      </w:r>
      <w:r w:rsidR="00B91812">
        <w:rPr>
          <w:rFonts w:eastAsia="Times New Roman"/>
          <w:color w:val="000000"/>
          <w:lang w:eastAsia="en-US"/>
        </w:rPr>
        <w:t>class sessions</w:t>
      </w:r>
      <w:r w:rsidR="0090151A">
        <w:rPr>
          <w:rFonts w:eastAsia="Times New Roman"/>
          <w:color w:val="000000"/>
          <w:lang w:eastAsia="en-US"/>
        </w:rPr>
        <w:t>.</w:t>
      </w:r>
    </w:p>
    <w:p w14:paraId="538262B0" w14:textId="1D2C6EF0" w:rsidR="00752B5F" w:rsidRDefault="00752B5F" w:rsidP="00D96D55">
      <w:pPr>
        <w:spacing w:after="120"/>
      </w:pPr>
      <w:r>
        <w:t>Written assignments are submitted online.</w:t>
      </w:r>
    </w:p>
    <w:p w14:paraId="6171EDBA" w14:textId="77777777" w:rsidR="00921268" w:rsidRPr="0009744E" w:rsidRDefault="00D96D55" w:rsidP="00921268">
      <w:pPr>
        <w:spacing w:after="120"/>
        <w:rPr>
          <w:bCs/>
          <w:u w:val="single"/>
        </w:rPr>
      </w:pPr>
      <w:r w:rsidRPr="0009744E">
        <w:rPr>
          <w:bCs/>
          <w:u w:val="single"/>
        </w:rPr>
        <w:t xml:space="preserve">Class participation </w:t>
      </w:r>
      <w:r w:rsidR="00FD64AD" w:rsidRPr="0009744E">
        <w:rPr>
          <w:bCs/>
          <w:u w:val="single"/>
        </w:rPr>
        <w:t>(20</w:t>
      </w:r>
      <w:r w:rsidRPr="0009744E">
        <w:rPr>
          <w:bCs/>
          <w:u w:val="single"/>
        </w:rPr>
        <w:t xml:space="preserve">%) </w:t>
      </w:r>
    </w:p>
    <w:p w14:paraId="6D71DA9E" w14:textId="625886BA" w:rsidR="00921268" w:rsidRPr="00921268" w:rsidRDefault="00E975F7" w:rsidP="00921268">
      <w:pPr>
        <w:spacing w:after="120"/>
      </w:pPr>
      <w:r>
        <w:t>I</w:t>
      </w:r>
      <w:r w:rsidR="00921268" w:rsidRPr="00921268">
        <w:t xml:space="preserve"> expect you to contribute to the learning of your classmates, both through class discussion and during the </w:t>
      </w:r>
      <w:r>
        <w:t>assignments</w:t>
      </w:r>
      <w:r w:rsidR="00921268" w:rsidRPr="00921268">
        <w:t xml:space="preserve">.  Expect cold calling.  </w:t>
      </w:r>
      <w:r w:rsidR="00451FE7">
        <w:t>P</w:t>
      </w:r>
      <w:r w:rsidR="00921268" w:rsidRPr="00921268">
        <w:t xml:space="preserve">articipation </w:t>
      </w:r>
      <w:r w:rsidR="00451FE7">
        <w:t>grades reflect these factors</w:t>
      </w:r>
      <w:r w:rsidR="00921268" w:rsidRPr="00921268">
        <w:t>:</w:t>
      </w:r>
    </w:p>
    <w:p w14:paraId="43DCE1C6" w14:textId="11946B44" w:rsidR="00921268" w:rsidRPr="00921268" w:rsidRDefault="001078E2" w:rsidP="00E81CF0">
      <w:pPr>
        <w:pStyle w:val="ListParagraph"/>
        <w:numPr>
          <w:ilvl w:val="0"/>
          <w:numId w:val="15"/>
        </w:numPr>
        <w:spacing w:after="120"/>
      </w:pPr>
      <w:r>
        <w:t>Present and on</w:t>
      </w:r>
      <w:r w:rsidR="00921268" w:rsidRPr="00921268">
        <w:t xml:space="preserve"> time </w:t>
      </w:r>
      <w:r>
        <w:t>for each class meeting</w:t>
      </w:r>
    </w:p>
    <w:p w14:paraId="0BCE44DF" w14:textId="3563E7CF" w:rsidR="00921268" w:rsidRDefault="00921268" w:rsidP="00E81CF0">
      <w:pPr>
        <w:pStyle w:val="ListParagraph"/>
        <w:numPr>
          <w:ilvl w:val="0"/>
          <w:numId w:val="15"/>
        </w:numPr>
        <w:spacing w:after="120"/>
      </w:pPr>
      <w:r w:rsidRPr="00921268">
        <w:t>Active participat</w:t>
      </w:r>
      <w:r w:rsidR="001078E2">
        <w:t>ion</w:t>
      </w:r>
      <w:r w:rsidRPr="00921268">
        <w:t xml:space="preserve"> in class discussions</w:t>
      </w:r>
    </w:p>
    <w:p w14:paraId="68FA00C3" w14:textId="76B89723" w:rsidR="00B466F5" w:rsidRPr="00921268" w:rsidRDefault="00B466F5" w:rsidP="00E81CF0">
      <w:pPr>
        <w:pStyle w:val="ListParagraph"/>
        <w:numPr>
          <w:ilvl w:val="0"/>
          <w:numId w:val="15"/>
        </w:numPr>
        <w:spacing w:after="120"/>
      </w:pPr>
      <w:r>
        <w:t>Respond</w:t>
      </w:r>
      <w:r w:rsidR="001078E2">
        <w:t>ing</w:t>
      </w:r>
      <w:r>
        <w:t xml:space="preserve"> to polling questions during lectures</w:t>
      </w:r>
    </w:p>
    <w:p w14:paraId="0334CD9F" w14:textId="77777777" w:rsidR="00921268" w:rsidRPr="00921268" w:rsidRDefault="00921268" w:rsidP="00E81CF0">
      <w:pPr>
        <w:pStyle w:val="ListParagraph"/>
        <w:numPr>
          <w:ilvl w:val="0"/>
          <w:numId w:val="15"/>
        </w:numPr>
        <w:spacing w:after="120"/>
      </w:pPr>
      <w:r w:rsidRPr="00921268">
        <w:t>When guests are in the room, be respectful and prepared with thoughtful questions</w:t>
      </w:r>
    </w:p>
    <w:p w14:paraId="1BC0FF7E" w14:textId="646F6D2F" w:rsidR="00921268" w:rsidRDefault="00921268" w:rsidP="00E81CF0">
      <w:pPr>
        <w:pStyle w:val="ListParagraph"/>
        <w:numPr>
          <w:ilvl w:val="0"/>
          <w:numId w:val="15"/>
        </w:numPr>
        <w:spacing w:after="120"/>
      </w:pPr>
      <w:r w:rsidRPr="00921268">
        <w:t>Device usage (phones, laptops)</w:t>
      </w:r>
      <w:r w:rsidR="00894E5F">
        <w:t xml:space="preserve">, other than for polling, </w:t>
      </w:r>
      <w:r w:rsidRPr="00921268">
        <w:t>will take away from your participation grade</w:t>
      </w:r>
    </w:p>
    <w:p w14:paraId="1156635C" w14:textId="1309AD45" w:rsidR="007861E6" w:rsidRDefault="007861E6" w:rsidP="007861E6">
      <w:pPr>
        <w:spacing w:after="120"/>
      </w:pPr>
      <w:r>
        <w:t>Missing s</w:t>
      </w:r>
      <w:r w:rsidRPr="00921268">
        <w:t xml:space="preserve">essions without an </w:t>
      </w:r>
      <w:r>
        <w:t xml:space="preserve">approved </w:t>
      </w:r>
      <w:r w:rsidRPr="00921268">
        <w:t>excuse</w:t>
      </w:r>
      <w:r w:rsidR="00B91812">
        <w:t>, as defined by CBS,</w:t>
      </w:r>
      <w:r w:rsidRPr="00921268">
        <w:t xml:space="preserve"> will </w:t>
      </w:r>
      <w:r>
        <w:t xml:space="preserve">adversely affect </w:t>
      </w:r>
      <w:r w:rsidRPr="00921268">
        <w:t xml:space="preserve">your </w:t>
      </w:r>
      <w:r w:rsidR="001078E2">
        <w:t xml:space="preserve">participation </w:t>
      </w:r>
      <w:r w:rsidRPr="00921268">
        <w:t>grade</w:t>
      </w:r>
      <w:r>
        <w:t>.</w:t>
      </w:r>
      <w:r w:rsidR="009D735C">
        <w:t xml:space="preserve"> </w:t>
      </w:r>
    </w:p>
    <w:p w14:paraId="67E1B115" w14:textId="451AD122" w:rsidR="00F06760" w:rsidRDefault="00F06760" w:rsidP="007861E6">
      <w:pPr>
        <w:spacing w:after="120"/>
        <w:rPr>
          <w:bCs/>
        </w:rPr>
      </w:pPr>
      <w:r w:rsidRPr="00F06760">
        <w:rPr>
          <w:bCs/>
        </w:rPr>
        <w:t>Bring name cards and a device to use to respond to Poll Everywhere to each class.</w:t>
      </w:r>
    </w:p>
    <w:p w14:paraId="30D5EF60" w14:textId="4044A1CD" w:rsidR="00B878D8" w:rsidRDefault="00B878D8" w:rsidP="007861E6">
      <w:pPr>
        <w:spacing w:after="120"/>
        <w:rPr>
          <w:bCs/>
        </w:rPr>
      </w:pPr>
    </w:p>
    <w:p w14:paraId="24001934" w14:textId="77777777" w:rsidR="005F1E09" w:rsidRDefault="005F1E09" w:rsidP="007861E6">
      <w:pPr>
        <w:spacing w:after="120"/>
        <w:rPr>
          <w:bCs/>
        </w:rPr>
      </w:pPr>
    </w:p>
    <w:p w14:paraId="19804FBB" w14:textId="1D6729DE" w:rsidR="00B878D8" w:rsidRPr="00B878D8" w:rsidRDefault="00B878D8" w:rsidP="007861E6">
      <w:pPr>
        <w:spacing w:after="120"/>
        <w:rPr>
          <w:b/>
        </w:rPr>
      </w:pPr>
      <w:r w:rsidRPr="00B878D8">
        <w:rPr>
          <w:b/>
        </w:rPr>
        <w:lastRenderedPageBreak/>
        <w:t>Office Hours</w:t>
      </w:r>
    </w:p>
    <w:p w14:paraId="660CB3A3" w14:textId="68C38868" w:rsidR="00B878D8" w:rsidRDefault="00B878D8" w:rsidP="007861E6">
      <w:pPr>
        <w:spacing w:after="120"/>
        <w:rPr>
          <w:bCs/>
        </w:rPr>
      </w:pPr>
      <w:r>
        <w:rPr>
          <w:bCs/>
        </w:rPr>
        <w:t>Office hours are by appointment only and will most likely be held via Zoom.</w:t>
      </w:r>
      <w:r w:rsidR="00511AD6">
        <w:rPr>
          <w:bCs/>
        </w:rPr>
        <w:t xml:space="preserve"> I generally am available after class as well.</w:t>
      </w:r>
    </w:p>
    <w:p w14:paraId="151FC052" w14:textId="349A9053" w:rsidR="00511AD6" w:rsidRPr="00511AD6" w:rsidRDefault="00511AD6" w:rsidP="007861E6">
      <w:pPr>
        <w:spacing w:after="120"/>
        <w:rPr>
          <w:b/>
        </w:rPr>
      </w:pPr>
      <w:r w:rsidRPr="00511AD6">
        <w:rPr>
          <w:b/>
        </w:rPr>
        <w:t>Course / Teaching Assistant</w:t>
      </w:r>
    </w:p>
    <w:p w14:paraId="289F846A" w14:textId="1AF56C1C" w:rsidR="00511AD6" w:rsidRPr="00F45810" w:rsidRDefault="00511AD6" w:rsidP="007861E6">
      <w:pPr>
        <w:spacing w:after="120"/>
        <w:rPr>
          <w:bCs/>
        </w:rPr>
      </w:pPr>
      <w:r>
        <w:rPr>
          <w:bCs/>
        </w:rPr>
        <w:t>To be determined. Due to CBS hiring policies, the CA or TA is unlikely to have taken this course and, consequently, may not be able to provide tutorial help and guidance.</w:t>
      </w:r>
    </w:p>
    <w:p w14:paraId="7F2AC8C4" w14:textId="69CEBBF0" w:rsidR="0090151A" w:rsidRDefault="0090151A" w:rsidP="00B91812">
      <w:pPr>
        <w:spacing w:after="120"/>
      </w:pPr>
    </w:p>
    <w:p w14:paraId="3B0CE198" w14:textId="77777777" w:rsidR="0090151A" w:rsidRDefault="0090151A" w:rsidP="00B91812">
      <w:pPr>
        <w:spacing w:after="120"/>
      </w:pPr>
    </w:p>
    <w:p w14:paraId="2DB929C0" w14:textId="77777777" w:rsidR="00B91812" w:rsidRDefault="00B918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B41AF33" w14:textId="295F7378" w:rsidR="00704AD5" w:rsidRDefault="00117019" w:rsidP="00704AD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Fall</w:t>
      </w:r>
      <w:r w:rsidR="00704AD5">
        <w:rPr>
          <w:rFonts w:ascii="Arial" w:hAnsi="Arial" w:cs="Arial"/>
          <w:b/>
        </w:rPr>
        <w:t xml:space="preserve"> 20</w:t>
      </w:r>
      <w:r w:rsidR="00081CB1">
        <w:rPr>
          <w:rFonts w:ascii="Arial" w:hAnsi="Arial" w:cs="Arial"/>
          <w:b/>
        </w:rPr>
        <w:t>21</w:t>
      </w:r>
      <w:r w:rsidR="00704AD5">
        <w:rPr>
          <w:rFonts w:ascii="Arial" w:hAnsi="Arial" w:cs="Arial"/>
          <w:b/>
        </w:rPr>
        <w:t xml:space="preserve"> Syllabus</w:t>
      </w:r>
    </w:p>
    <w:p w14:paraId="31EB1590" w14:textId="2E5FC82B" w:rsidR="00704AD5" w:rsidRPr="00A0163E" w:rsidRDefault="00704AD5" w:rsidP="00704AD5">
      <w:pPr>
        <w:rPr>
          <w:i/>
          <w:iCs/>
          <w:sz w:val="22"/>
          <w:szCs w:val="22"/>
        </w:rPr>
      </w:pPr>
      <w:r w:rsidRPr="00A0163E">
        <w:rPr>
          <w:i/>
          <w:iCs/>
          <w:sz w:val="22"/>
          <w:szCs w:val="22"/>
        </w:rPr>
        <w:t>Tuesd</w:t>
      </w:r>
      <w:r w:rsidR="00667B4A">
        <w:rPr>
          <w:i/>
          <w:iCs/>
          <w:sz w:val="22"/>
          <w:szCs w:val="22"/>
        </w:rPr>
        <w:t xml:space="preserve">ays, </w:t>
      </w:r>
      <w:r w:rsidR="00081CB1">
        <w:rPr>
          <w:i/>
          <w:iCs/>
          <w:sz w:val="22"/>
          <w:szCs w:val="22"/>
        </w:rPr>
        <w:t>8</w:t>
      </w:r>
      <w:r w:rsidR="00667B4A">
        <w:rPr>
          <w:i/>
          <w:iCs/>
          <w:sz w:val="22"/>
          <w:szCs w:val="22"/>
        </w:rPr>
        <w:t>:</w:t>
      </w:r>
      <w:r w:rsidR="00081CB1">
        <w:rPr>
          <w:i/>
          <w:iCs/>
          <w:sz w:val="22"/>
          <w:szCs w:val="22"/>
        </w:rPr>
        <w:t xml:space="preserve">30 </w:t>
      </w:r>
      <w:r w:rsidR="00667B4A">
        <w:rPr>
          <w:i/>
          <w:iCs/>
          <w:sz w:val="22"/>
          <w:szCs w:val="22"/>
        </w:rPr>
        <w:t>am to 1</w:t>
      </w:r>
      <w:r w:rsidR="00081CB1">
        <w:rPr>
          <w:i/>
          <w:iCs/>
          <w:sz w:val="22"/>
          <w:szCs w:val="22"/>
        </w:rPr>
        <w:t xml:space="preserve">1:45 </w:t>
      </w:r>
      <w:r w:rsidR="00667B4A">
        <w:rPr>
          <w:i/>
          <w:iCs/>
          <w:sz w:val="22"/>
          <w:szCs w:val="22"/>
        </w:rPr>
        <w:t>pm</w:t>
      </w:r>
      <w:r w:rsidRPr="00A0163E">
        <w:rPr>
          <w:i/>
          <w:iCs/>
          <w:sz w:val="22"/>
          <w:szCs w:val="22"/>
        </w:rPr>
        <w:t xml:space="preserve"> (location </w:t>
      </w:r>
      <w:r w:rsidR="00117019">
        <w:rPr>
          <w:i/>
          <w:iCs/>
          <w:sz w:val="22"/>
          <w:szCs w:val="22"/>
        </w:rPr>
        <w:t>TBD</w:t>
      </w:r>
      <w:r w:rsidRPr="00A0163E">
        <w:rPr>
          <w:i/>
          <w:iCs/>
          <w:sz w:val="22"/>
          <w:szCs w:val="22"/>
        </w:rPr>
        <w:t>)</w:t>
      </w:r>
    </w:p>
    <w:p w14:paraId="37EC2C00" w14:textId="77777777" w:rsidR="00E81CF0" w:rsidRDefault="00E81CF0" w:rsidP="00D96D55">
      <w:pPr>
        <w:spacing w:after="120"/>
      </w:pPr>
    </w:p>
    <w:p w14:paraId="713A5C4A" w14:textId="33837FF2" w:rsidR="00E81CF0" w:rsidRDefault="00E81CF0" w:rsidP="00E81CF0">
      <w:pPr>
        <w:spacing w:before="240" w:after="240"/>
        <w:rPr>
          <w:rFonts w:eastAsia="Times New Roman"/>
          <w:i/>
          <w:color w:val="000000"/>
          <w:lang w:eastAsia="en-US"/>
        </w:rPr>
      </w:pPr>
      <w:r w:rsidRPr="00305576">
        <w:rPr>
          <w:rFonts w:eastAsia="Times New Roman"/>
          <w:b/>
          <w:color w:val="000000"/>
          <w:lang w:eastAsia="en-US"/>
        </w:rPr>
        <w:t>Please be aware that content order may change from what is printed below</w:t>
      </w:r>
      <w:r>
        <w:rPr>
          <w:rFonts w:eastAsia="Times New Roman"/>
          <w:b/>
          <w:color w:val="000000"/>
          <w:lang w:eastAsia="en-US"/>
        </w:rPr>
        <w:t xml:space="preserve">. </w:t>
      </w:r>
      <w:r w:rsidRPr="00305576">
        <w:rPr>
          <w:rFonts w:eastAsia="Times New Roman"/>
          <w:color w:val="000000"/>
          <w:lang w:eastAsia="en-US"/>
        </w:rPr>
        <w:t xml:space="preserve">Changes </w:t>
      </w:r>
      <w:r>
        <w:rPr>
          <w:rFonts w:eastAsia="Times New Roman"/>
          <w:color w:val="000000"/>
          <w:lang w:eastAsia="en-US"/>
        </w:rPr>
        <w:t xml:space="preserve">occur due to guest speaker schedules and instructor adjustments as we progress through topics. All changes </w:t>
      </w:r>
      <w:r w:rsidRPr="00305576">
        <w:rPr>
          <w:rFonts w:eastAsia="Times New Roman"/>
          <w:color w:val="000000"/>
          <w:lang w:eastAsia="en-US"/>
        </w:rPr>
        <w:t>will be announced and posted to Canvas in advance.</w:t>
      </w:r>
      <w:r>
        <w:rPr>
          <w:rFonts w:eastAsia="Times New Roman"/>
          <w:color w:val="000000"/>
          <w:lang w:eastAsia="en-US"/>
        </w:rPr>
        <w:t xml:space="preserve"> </w:t>
      </w:r>
      <w:r w:rsidRPr="00704AD5">
        <w:rPr>
          <w:rFonts w:eastAsia="Times New Roman"/>
          <w:i/>
          <w:color w:val="000000"/>
          <w:lang w:eastAsia="en-US"/>
        </w:rPr>
        <w:t>However, it is highly unlikely that assignment due dates will vary</w:t>
      </w:r>
      <w:r w:rsidR="00704AD5">
        <w:rPr>
          <w:rFonts w:eastAsia="Times New Roman"/>
          <w:i/>
          <w:color w:val="000000"/>
          <w:lang w:eastAsia="en-US"/>
        </w:rPr>
        <w:t>.</w:t>
      </w:r>
    </w:p>
    <w:p w14:paraId="7DBF066E" w14:textId="1431E6CB" w:rsidR="00117019" w:rsidRDefault="00117019" w:rsidP="00E81CF0">
      <w:pPr>
        <w:spacing w:before="240" w:after="240"/>
      </w:pPr>
      <w:r>
        <w:t xml:space="preserve">Guest speakers listed below presented to the class in </w:t>
      </w:r>
      <w:r w:rsidR="00A35CF0">
        <w:t>fall</w:t>
      </w:r>
      <w:r>
        <w:t xml:space="preserve"> 20</w:t>
      </w:r>
      <w:r w:rsidR="00081CB1">
        <w:t>20</w:t>
      </w:r>
      <w:r>
        <w:t xml:space="preserve">. The same speakers may not be able to participate in </w:t>
      </w:r>
      <w:r w:rsidR="00B466F5">
        <w:t>fall</w:t>
      </w:r>
      <w:r>
        <w:t xml:space="preserve"> 20</w:t>
      </w:r>
      <w:r w:rsidR="00081CB1">
        <w:t>21</w:t>
      </w:r>
      <w:r>
        <w:t>.</w:t>
      </w:r>
    </w:p>
    <w:p w14:paraId="3CDBAA98" w14:textId="5FD6B783" w:rsidR="0090151A" w:rsidRPr="003B384F" w:rsidRDefault="0090151A" w:rsidP="0090151A">
      <w:pPr>
        <w:spacing w:after="120"/>
        <w:rPr>
          <w:rFonts w:ascii="Arial" w:hAnsi="Arial" w:cs="Arial"/>
          <w:b/>
          <w:bCs/>
        </w:rPr>
      </w:pPr>
      <w:r>
        <w:t>Most guest speakers work for entities with complicated compliance regimes that limit what employees can discuss in public settings. As a result</w:t>
      </w:r>
      <w:r w:rsidRPr="003B384F">
        <w:t xml:space="preserve">, </w:t>
      </w:r>
      <w:r w:rsidRPr="003B384F">
        <w:rPr>
          <w:b/>
          <w:bCs/>
        </w:rPr>
        <w:t>class sessions with guest speakers are strictly off the record, and we cannot record the speakers’ portions of these class meetings.</w:t>
      </w:r>
      <w:r w:rsidR="00B269FE" w:rsidRPr="003B384F">
        <w:rPr>
          <w:b/>
          <w:bCs/>
        </w:rPr>
        <w:t xml:space="preserve"> This also implies you must be present for class sessions because viewing recordings will not provide full course content.</w:t>
      </w:r>
    </w:p>
    <w:p w14:paraId="7347CF39" w14:textId="77777777" w:rsidR="00D96D55" w:rsidRPr="00FF16FC" w:rsidRDefault="00D96D55" w:rsidP="00D96D5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00B0F0"/>
        <w:tblLook w:val="01E0" w:firstRow="1" w:lastRow="1" w:firstColumn="1" w:lastColumn="1" w:noHBand="0" w:noVBand="0"/>
      </w:tblPr>
      <w:tblGrid>
        <w:gridCol w:w="1842"/>
        <w:gridCol w:w="1366"/>
        <w:gridCol w:w="5426"/>
      </w:tblGrid>
      <w:tr w:rsidR="00D96D55" w:rsidRPr="004F6AB0" w14:paraId="0852C5CF" w14:textId="77777777">
        <w:tc>
          <w:tcPr>
            <w:tcW w:w="1011" w:type="pct"/>
            <w:shd w:val="clear" w:color="auto" w:fill="00B0F0"/>
          </w:tcPr>
          <w:p w14:paraId="24E5A748" w14:textId="77777777" w:rsidR="00D96D55" w:rsidRPr="004F6AB0" w:rsidRDefault="00D96D55" w:rsidP="00D96D5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Session 1</w:t>
            </w:r>
          </w:p>
        </w:tc>
        <w:tc>
          <w:tcPr>
            <w:tcW w:w="750" w:type="pct"/>
            <w:shd w:val="clear" w:color="auto" w:fill="00B0F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4F4C73" w14:textId="6898642C" w:rsidR="00D96D55" w:rsidRPr="004F6AB0" w:rsidRDefault="00081CB1" w:rsidP="00D96D5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  <w:r w:rsidR="00D96D55" w:rsidRPr="004F6AB0">
              <w:rPr>
                <w:rFonts w:ascii="Arial" w:hAnsi="Arial" w:cs="Arial"/>
                <w:b/>
                <w:color w:val="FFFFFF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07</w:t>
            </w:r>
          </w:p>
        </w:tc>
        <w:tc>
          <w:tcPr>
            <w:tcW w:w="2978" w:type="pct"/>
            <w:shd w:val="clear" w:color="auto" w:fill="00B0F0"/>
            <w:tcMar>
              <w:left w:w="115" w:type="dxa"/>
              <w:right w:w="115" w:type="dxa"/>
            </w:tcMar>
          </w:tcPr>
          <w:p w14:paraId="1234A2B5" w14:textId="7DBC37E6" w:rsidR="00D96D55" w:rsidRPr="004F6AB0" w:rsidRDefault="00D96D55" w:rsidP="00C74AC8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F6AB0">
              <w:rPr>
                <w:rFonts w:ascii="Arial" w:hAnsi="Arial" w:cs="Arial"/>
                <w:b/>
                <w:color w:val="FFFFFF"/>
                <w:sz w:val="22"/>
                <w:szCs w:val="22"/>
              </w:rPr>
              <w:t>Course Overview</w:t>
            </w:r>
            <w:r w:rsidR="00C74AC8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and Introduction to </w:t>
            </w:r>
            <w:r w:rsidR="00DC664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Portfolio </w:t>
            </w:r>
            <w:r w:rsidR="00C74AC8">
              <w:rPr>
                <w:rFonts w:ascii="Arial" w:hAnsi="Arial" w:cs="Arial"/>
                <w:b/>
                <w:color w:val="FFFFFF"/>
                <w:sz w:val="22"/>
                <w:szCs w:val="22"/>
              </w:rPr>
              <w:t>Management</w:t>
            </w:r>
          </w:p>
        </w:tc>
      </w:tr>
    </w:tbl>
    <w:p w14:paraId="6A7B57AF" w14:textId="77777777" w:rsidR="00D96D55" w:rsidRPr="00F74E0A" w:rsidRDefault="00D96D55" w:rsidP="00EA6088">
      <w:pPr>
        <w:numPr>
          <w:ilvl w:val="0"/>
          <w:numId w:val="3"/>
        </w:numPr>
        <w:spacing w:before="120" w:after="120"/>
        <w:rPr>
          <w:b/>
          <w:sz w:val="22"/>
          <w:szCs w:val="22"/>
        </w:rPr>
      </w:pPr>
      <w:r w:rsidRPr="00C64412">
        <w:rPr>
          <w:sz w:val="22"/>
          <w:szCs w:val="22"/>
        </w:rPr>
        <w:t>Course housekeeping</w:t>
      </w:r>
    </w:p>
    <w:p w14:paraId="01EB25A5" w14:textId="78C9C420" w:rsidR="00F74E0A" w:rsidRPr="00B36E5F" w:rsidRDefault="00E95185" w:rsidP="00EA6088">
      <w:pPr>
        <w:numPr>
          <w:ilvl w:val="0"/>
          <w:numId w:val="3"/>
        </w:numPr>
        <w:spacing w:before="120" w:after="120"/>
        <w:rPr>
          <w:b/>
          <w:sz w:val="22"/>
          <w:szCs w:val="22"/>
        </w:rPr>
      </w:pPr>
      <w:r>
        <w:rPr>
          <w:sz w:val="22"/>
          <w:szCs w:val="22"/>
        </w:rPr>
        <w:t>Risk and return choices; fundamental questions</w:t>
      </w:r>
    </w:p>
    <w:p w14:paraId="6C4EFDAD" w14:textId="0C52F626" w:rsidR="00C74AC8" w:rsidRDefault="00E95185" w:rsidP="00EA6088">
      <w:pPr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Decisions</w:t>
      </w:r>
    </w:p>
    <w:p w14:paraId="5E75FB2F" w14:textId="71F2C6CE" w:rsidR="002C00DC" w:rsidRDefault="00E95185" w:rsidP="00EA6088">
      <w:pPr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Performance measurement I</w:t>
      </w:r>
    </w:p>
    <w:p w14:paraId="48C8E6C4" w14:textId="5AAA8D48" w:rsidR="00D96D55" w:rsidRPr="00C64412" w:rsidRDefault="00D96D55" w:rsidP="00B36E5F">
      <w:pPr>
        <w:spacing w:after="120"/>
        <w:ind w:left="1440"/>
        <w:rPr>
          <w:sz w:val="22"/>
          <w:szCs w:val="22"/>
        </w:rPr>
      </w:pPr>
    </w:p>
    <w:tbl>
      <w:tblPr>
        <w:tblW w:w="5000" w:type="pc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00B0F0"/>
        <w:tblLook w:val="01E0" w:firstRow="1" w:lastRow="1" w:firstColumn="1" w:lastColumn="1" w:noHBand="0" w:noVBand="0"/>
      </w:tblPr>
      <w:tblGrid>
        <w:gridCol w:w="1842"/>
        <w:gridCol w:w="1366"/>
        <w:gridCol w:w="5426"/>
      </w:tblGrid>
      <w:tr w:rsidR="00D96D55" w:rsidRPr="004F6AB0" w14:paraId="2D2A43C2" w14:textId="77777777">
        <w:tc>
          <w:tcPr>
            <w:tcW w:w="1067" w:type="pct"/>
            <w:shd w:val="clear" w:color="auto" w:fill="00B0F0"/>
          </w:tcPr>
          <w:p w14:paraId="5E49BFFF" w14:textId="77777777" w:rsidR="00D96D55" w:rsidRPr="004F6AB0" w:rsidRDefault="00D96D55" w:rsidP="00D96D5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Session 2</w:t>
            </w:r>
          </w:p>
        </w:tc>
        <w:tc>
          <w:tcPr>
            <w:tcW w:w="791" w:type="pct"/>
            <w:shd w:val="clear" w:color="auto" w:fill="00B0F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578ED3" w14:textId="44DBFB7D" w:rsidR="00D96D55" w:rsidRPr="004F6AB0" w:rsidRDefault="00081CB1" w:rsidP="00D96D5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  <w:r w:rsidR="00D96D55" w:rsidRPr="004F6AB0">
              <w:rPr>
                <w:rFonts w:ascii="Arial" w:hAnsi="Arial" w:cs="Arial"/>
                <w:b/>
                <w:color w:val="FFFFFF"/>
                <w:sz w:val="22"/>
                <w:szCs w:val="22"/>
              </w:rPr>
              <w:t>/</w:t>
            </w:r>
            <w:r w:rsidR="00D56DC5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3142" w:type="pct"/>
            <w:shd w:val="clear" w:color="auto" w:fill="00B0F0"/>
            <w:tcMar>
              <w:left w:w="115" w:type="dxa"/>
              <w:right w:w="115" w:type="dxa"/>
            </w:tcMar>
          </w:tcPr>
          <w:p w14:paraId="100F11CB" w14:textId="61E40235" w:rsidR="00D96D55" w:rsidRPr="004F6AB0" w:rsidRDefault="00F45810" w:rsidP="007175C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Portfolio Construction: Sectors, Metro Areas and Buildings</w:t>
            </w:r>
            <w:r w:rsidR="0026688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</w:tbl>
    <w:p w14:paraId="255AE7A8" w14:textId="77777777" w:rsidR="00F45810" w:rsidRDefault="00F45810" w:rsidP="00F45810">
      <w:pPr>
        <w:numPr>
          <w:ilvl w:val="0"/>
          <w:numId w:val="5"/>
        </w:num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Portfolio type: Open-end core fund</w:t>
      </w:r>
      <w:r w:rsidRPr="00F45810">
        <w:rPr>
          <w:rFonts w:cs="Arial"/>
          <w:sz w:val="22"/>
          <w:szCs w:val="22"/>
        </w:rPr>
        <w:t xml:space="preserve"> </w:t>
      </w:r>
    </w:p>
    <w:p w14:paraId="385B0D8E" w14:textId="28BE76E3" w:rsidR="00F45810" w:rsidRPr="00F45810" w:rsidRDefault="00F45810" w:rsidP="00F45810">
      <w:pPr>
        <w:numPr>
          <w:ilvl w:val="0"/>
          <w:numId w:val="5"/>
        </w:num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Session focus: Top-down issues in building and running a portfolio, such as sector and geographic selection. Topics will include diversification, generating alpha relative to a b</w:t>
      </w:r>
      <w:r w:rsidRPr="004160D8">
        <w:rPr>
          <w:rFonts w:cs="Arial"/>
          <w:sz w:val="22"/>
          <w:szCs w:val="22"/>
        </w:rPr>
        <w:t>enchmark</w:t>
      </w:r>
      <w:r>
        <w:rPr>
          <w:rFonts w:cs="Arial"/>
          <w:sz w:val="22"/>
          <w:szCs w:val="22"/>
        </w:rPr>
        <w:t xml:space="preserve">, </w:t>
      </w:r>
      <w:r w:rsidRPr="004160D8">
        <w:rPr>
          <w:rFonts w:cs="Arial"/>
          <w:sz w:val="22"/>
          <w:szCs w:val="22"/>
        </w:rPr>
        <w:t>performance measurement</w:t>
      </w:r>
      <w:r>
        <w:rPr>
          <w:rFonts w:cs="Arial"/>
          <w:sz w:val="22"/>
          <w:szCs w:val="22"/>
        </w:rPr>
        <w:t xml:space="preserve"> and considerations in managing liquidity in an open-end vehicle.</w:t>
      </w:r>
    </w:p>
    <w:p w14:paraId="7C5A6FFA" w14:textId="0A88C148" w:rsidR="00E95185" w:rsidRPr="00E95185" w:rsidRDefault="002C00DC" w:rsidP="00E95185">
      <w:pPr>
        <w:numPr>
          <w:ilvl w:val="0"/>
          <w:numId w:val="5"/>
        </w:num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Guest speaker: </w:t>
      </w:r>
      <w:r w:rsidR="00667B4A">
        <w:rPr>
          <w:rFonts w:cs="Arial"/>
          <w:sz w:val="22"/>
          <w:szCs w:val="22"/>
        </w:rPr>
        <w:t>(</w:t>
      </w:r>
      <w:r w:rsidR="00081CB1">
        <w:rPr>
          <w:rFonts w:cs="Arial"/>
          <w:sz w:val="22"/>
          <w:szCs w:val="22"/>
        </w:rPr>
        <w:t>James Glen, PGIM Real Estate</w:t>
      </w:r>
      <w:r w:rsidR="00667B4A">
        <w:rPr>
          <w:rFonts w:cs="Arial"/>
          <w:sz w:val="22"/>
          <w:szCs w:val="22"/>
        </w:rPr>
        <w:t>)</w:t>
      </w:r>
    </w:p>
    <w:p w14:paraId="004C7D69" w14:textId="67FDC6F0" w:rsidR="007175C6" w:rsidRDefault="00E95185" w:rsidP="00EA6088">
      <w:pPr>
        <w:numPr>
          <w:ilvl w:val="0"/>
          <w:numId w:val="5"/>
        </w:num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175C6">
        <w:rPr>
          <w:rFonts w:cs="Arial"/>
          <w:sz w:val="22"/>
          <w:szCs w:val="22"/>
        </w:rPr>
        <w:t>erformance measurement</w:t>
      </w:r>
      <w:r>
        <w:rPr>
          <w:rFonts w:cs="Arial"/>
          <w:sz w:val="22"/>
          <w:szCs w:val="22"/>
        </w:rPr>
        <w:t xml:space="preserve"> II</w:t>
      </w:r>
    </w:p>
    <w:p w14:paraId="31EB2700" w14:textId="78342330" w:rsidR="00C74AC8" w:rsidRDefault="00E95185" w:rsidP="00EA6088">
      <w:pPr>
        <w:numPr>
          <w:ilvl w:val="0"/>
          <w:numId w:val="5"/>
        </w:num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cruel equations</w:t>
      </w:r>
    </w:p>
    <w:p w14:paraId="54C2BCFB" w14:textId="0BDCD401" w:rsidR="0090151A" w:rsidRDefault="00440B01" w:rsidP="00440B01">
      <w:pPr>
        <w:numPr>
          <w:ilvl w:val="0"/>
          <w:numId w:val="5"/>
        </w:num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Liquidity management</w:t>
      </w:r>
    </w:p>
    <w:p w14:paraId="31BDDE11" w14:textId="77777777" w:rsidR="0090151A" w:rsidRDefault="0090151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0D6236CB" w14:textId="77777777" w:rsidR="00440B01" w:rsidRDefault="00440B01" w:rsidP="0090151A">
      <w:pPr>
        <w:spacing w:before="120" w:after="120"/>
        <w:ind w:left="720"/>
        <w:rPr>
          <w:rFonts w:cs="Arial"/>
          <w:sz w:val="22"/>
          <w:szCs w:val="22"/>
        </w:rPr>
      </w:pPr>
    </w:p>
    <w:p w14:paraId="1018D95A" w14:textId="0AF9E70A" w:rsidR="00D96D55" w:rsidRPr="00C64412" w:rsidRDefault="00D96D55" w:rsidP="00C25DD2">
      <w:pPr>
        <w:spacing w:before="120" w:after="12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00B0F0"/>
        <w:tblLook w:val="01E0" w:firstRow="1" w:lastRow="1" w:firstColumn="1" w:lastColumn="1" w:noHBand="0" w:noVBand="0"/>
      </w:tblPr>
      <w:tblGrid>
        <w:gridCol w:w="1842"/>
        <w:gridCol w:w="1366"/>
        <w:gridCol w:w="5426"/>
      </w:tblGrid>
      <w:tr w:rsidR="00D96D55" w:rsidRPr="004F6AB0" w14:paraId="273522CA" w14:textId="77777777">
        <w:tc>
          <w:tcPr>
            <w:tcW w:w="1067" w:type="pct"/>
            <w:shd w:val="clear" w:color="auto" w:fill="00B0F0"/>
          </w:tcPr>
          <w:p w14:paraId="2456F85C" w14:textId="77777777" w:rsidR="00D96D55" w:rsidRPr="004F6AB0" w:rsidRDefault="00D96D55" w:rsidP="00D96D5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Session 3</w:t>
            </w:r>
          </w:p>
        </w:tc>
        <w:tc>
          <w:tcPr>
            <w:tcW w:w="791" w:type="pct"/>
            <w:shd w:val="clear" w:color="auto" w:fill="00B0F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82B0C6" w14:textId="693DD182" w:rsidR="00D96D55" w:rsidRPr="004F6AB0" w:rsidRDefault="00081CB1" w:rsidP="00C663A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  <w:r w:rsidR="00D96D55" w:rsidRPr="004F6AB0">
              <w:rPr>
                <w:rFonts w:ascii="Arial" w:hAnsi="Arial" w:cs="Arial"/>
                <w:b/>
                <w:color w:val="FFFFFF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21</w:t>
            </w:r>
          </w:p>
        </w:tc>
        <w:tc>
          <w:tcPr>
            <w:tcW w:w="3142" w:type="pct"/>
            <w:shd w:val="clear" w:color="auto" w:fill="00B0F0"/>
            <w:tcMar>
              <w:left w:w="115" w:type="dxa"/>
              <w:right w:w="115" w:type="dxa"/>
            </w:tcMar>
          </w:tcPr>
          <w:p w14:paraId="2BC45D1E" w14:textId="6CB1D81E" w:rsidR="00D96D55" w:rsidRPr="004F6AB0" w:rsidRDefault="00C74AC8" w:rsidP="0026688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</w:t>
            </w:r>
            <w:r w:rsidR="00266886">
              <w:rPr>
                <w:rFonts w:ascii="Arial" w:hAnsi="Arial" w:cs="Arial"/>
                <w:b/>
                <w:color w:val="FFFFFF"/>
                <w:sz w:val="22"/>
                <w:szCs w:val="22"/>
              </w:rPr>
              <w:t>oncentrated Portfolios</w:t>
            </w:r>
            <w:r w:rsidR="00866A8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and Capital Structure</w:t>
            </w:r>
          </w:p>
        </w:tc>
      </w:tr>
      <w:tr w:rsidR="00D96D55" w:rsidRPr="004F6AB0" w14:paraId="7585EF21" w14:textId="77777777">
        <w:tc>
          <w:tcPr>
            <w:tcW w:w="1858" w:type="pct"/>
            <w:gridSpan w:val="2"/>
            <w:shd w:val="clear" w:color="auto" w:fill="auto"/>
          </w:tcPr>
          <w:p w14:paraId="3C845F86" w14:textId="77777777" w:rsidR="00D96D55" w:rsidRPr="00B51C73" w:rsidRDefault="00D96D55" w:rsidP="00D96D55">
            <w:pPr>
              <w:spacing w:before="60" w:after="60"/>
              <w:jc w:val="righ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W</w:t>
            </w:r>
            <w:r w:rsidRPr="00325E37">
              <w:rPr>
                <w:rFonts w:ascii="Arial" w:hAnsi="Arial" w:cs="Arial"/>
                <w:b/>
                <w:color w:val="00B0F0"/>
                <w:sz w:val="22"/>
                <w:szCs w:val="22"/>
              </w:rPr>
              <w:t>ritten Assignment Due</w:t>
            </w:r>
          </w:p>
        </w:tc>
        <w:tc>
          <w:tcPr>
            <w:tcW w:w="3142" w:type="pct"/>
            <w:shd w:val="clear" w:color="auto" w:fill="auto"/>
            <w:tcMar>
              <w:left w:w="115" w:type="dxa"/>
              <w:right w:w="115" w:type="dxa"/>
            </w:tcMar>
          </w:tcPr>
          <w:p w14:paraId="3D515DBD" w14:textId="6579C7EE" w:rsidR="00D96D55" w:rsidRPr="00A972E8" w:rsidRDefault="00513F5C" w:rsidP="00AF07D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fund sector rotation analysis</w:t>
            </w:r>
          </w:p>
        </w:tc>
      </w:tr>
    </w:tbl>
    <w:p w14:paraId="27835539" w14:textId="5BFCF263" w:rsidR="00F45810" w:rsidRDefault="00F45810" w:rsidP="00F45810">
      <w:pPr>
        <w:numPr>
          <w:ilvl w:val="0"/>
          <w:numId w:val="4"/>
        </w:num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Portfolio type: Publicly traded REIT with a concentrated portfolio</w:t>
      </w:r>
    </w:p>
    <w:p w14:paraId="746921CD" w14:textId="02DA7256" w:rsidR="00F45810" w:rsidRPr="00F93176" w:rsidRDefault="00F45810" w:rsidP="00F45810">
      <w:pPr>
        <w:numPr>
          <w:ilvl w:val="0"/>
          <w:numId w:val="4"/>
        </w:numPr>
        <w:spacing w:before="120" w:after="120"/>
        <w:rPr>
          <w:rFonts w:cs="Arial"/>
          <w:sz w:val="22"/>
          <w:szCs w:val="22"/>
        </w:rPr>
      </w:pPr>
      <w:r w:rsidRPr="00F93176">
        <w:rPr>
          <w:rFonts w:cs="Arial"/>
          <w:sz w:val="22"/>
          <w:szCs w:val="22"/>
        </w:rPr>
        <w:t xml:space="preserve">Session focus: How a portfolio’s investments and strategy </w:t>
      </w:r>
      <w:r>
        <w:rPr>
          <w:rFonts w:cs="Arial"/>
          <w:sz w:val="22"/>
          <w:szCs w:val="22"/>
        </w:rPr>
        <w:t>guide</w:t>
      </w:r>
      <w:r w:rsidRPr="00F93176">
        <w:rPr>
          <w:rFonts w:cs="Arial"/>
          <w:sz w:val="22"/>
          <w:szCs w:val="22"/>
        </w:rPr>
        <w:t xml:space="preserve"> capital structure choices. Decisions about </w:t>
      </w:r>
      <w:r>
        <w:rPr>
          <w:rFonts w:cs="Arial"/>
          <w:sz w:val="22"/>
          <w:szCs w:val="22"/>
        </w:rPr>
        <w:t xml:space="preserve">types and </w:t>
      </w:r>
      <w:r w:rsidRPr="00F93176">
        <w:rPr>
          <w:rFonts w:cs="Arial"/>
          <w:sz w:val="22"/>
          <w:szCs w:val="22"/>
        </w:rPr>
        <w:t>amount</w:t>
      </w:r>
      <w:r>
        <w:rPr>
          <w:rFonts w:cs="Arial"/>
          <w:sz w:val="22"/>
          <w:szCs w:val="22"/>
        </w:rPr>
        <w:t>s</w:t>
      </w:r>
      <w:r w:rsidRPr="00F93176">
        <w:rPr>
          <w:rFonts w:cs="Arial"/>
          <w:sz w:val="22"/>
          <w:szCs w:val="22"/>
        </w:rPr>
        <w:t xml:space="preserve"> of financing</w:t>
      </w:r>
      <w:r w:rsidR="0090151A">
        <w:rPr>
          <w:rFonts w:cs="Arial"/>
          <w:sz w:val="22"/>
          <w:szCs w:val="22"/>
        </w:rPr>
        <w:t>.</w:t>
      </w:r>
    </w:p>
    <w:p w14:paraId="17D62F94" w14:textId="52660B78" w:rsidR="002C00DC" w:rsidRDefault="002C00DC" w:rsidP="00EA6088">
      <w:pPr>
        <w:numPr>
          <w:ilvl w:val="0"/>
          <w:numId w:val="4"/>
        </w:num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Guest speaker: </w:t>
      </w:r>
      <w:r w:rsidR="00667B4A">
        <w:rPr>
          <w:rFonts w:cs="Arial"/>
          <w:sz w:val="22"/>
          <w:szCs w:val="22"/>
        </w:rPr>
        <w:t>(</w:t>
      </w:r>
      <w:r w:rsidR="00081CB1">
        <w:rPr>
          <w:rFonts w:cs="Arial"/>
          <w:sz w:val="22"/>
          <w:szCs w:val="22"/>
        </w:rPr>
        <w:t>Christina Chiu</w:t>
      </w:r>
      <w:r>
        <w:rPr>
          <w:rFonts w:cs="Arial"/>
          <w:sz w:val="22"/>
          <w:szCs w:val="22"/>
        </w:rPr>
        <w:t xml:space="preserve">, </w:t>
      </w:r>
      <w:r w:rsidR="00081CB1">
        <w:rPr>
          <w:rFonts w:cs="Arial"/>
          <w:sz w:val="22"/>
          <w:szCs w:val="22"/>
        </w:rPr>
        <w:t>EVP</w:t>
      </w:r>
      <w:r w:rsidR="00B04FBE">
        <w:rPr>
          <w:rFonts w:cs="Arial"/>
          <w:sz w:val="22"/>
          <w:szCs w:val="22"/>
        </w:rPr>
        <w:t xml:space="preserve"> &amp; C</w:t>
      </w:r>
      <w:r w:rsidR="00081CB1">
        <w:rPr>
          <w:rFonts w:cs="Arial"/>
          <w:sz w:val="22"/>
          <w:szCs w:val="22"/>
        </w:rPr>
        <w:t>F</w:t>
      </w:r>
      <w:r w:rsidR="00B04FBE">
        <w:rPr>
          <w:rFonts w:cs="Arial"/>
          <w:sz w:val="22"/>
          <w:szCs w:val="22"/>
        </w:rPr>
        <w:t xml:space="preserve">O, </w:t>
      </w:r>
      <w:r>
        <w:rPr>
          <w:rFonts w:cs="Arial"/>
          <w:sz w:val="22"/>
          <w:szCs w:val="22"/>
        </w:rPr>
        <w:t>Empire State Realty Trust</w:t>
      </w:r>
      <w:r w:rsidR="00667B4A">
        <w:rPr>
          <w:rFonts w:cs="Arial"/>
          <w:sz w:val="22"/>
          <w:szCs w:val="22"/>
        </w:rPr>
        <w:t>)</w:t>
      </w:r>
    </w:p>
    <w:p w14:paraId="18DE64A5" w14:textId="77777777" w:rsidR="00E95185" w:rsidRDefault="00E95185" w:rsidP="00EA6088">
      <w:pPr>
        <w:numPr>
          <w:ilvl w:val="0"/>
          <w:numId w:val="4"/>
        </w:num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of assignment 1</w:t>
      </w:r>
    </w:p>
    <w:p w14:paraId="3F0F6371" w14:textId="07BA8D1B" w:rsidR="00E95185" w:rsidRDefault="00B04FBE" w:rsidP="00B257A2">
      <w:pPr>
        <w:numPr>
          <w:ilvl w:val="0"/>
          <w:numId w:val="4"/>
        </w:numPr>
        <w:spacing w:before="120" w:after="120"/>
        <w:rPr>
          <w:rFonts w:cs="Arial"/>
          <w:sz w:val="22"/>
          <w:szCs w:val="22"/>
        </w:rPr>
      </w:pPr>
      <w:r w:rsidRPr="00E95185">
        <w:rPr>
          <w:rFonts w:cs="Arial"/>
          <w:sz w:val="22"/>
          <w:szCs w:val="22"/>
        </w:rPr>
        <w:t xml:space="preserve">Elements of </w:t>
      </w:r>
      <w:r w:rsidR="00866A80" w:rsidRPr="00E95185">
        <w:rPr>
          <w:rFonts w:cs="Arial"/>
          <w:sz w:val="22"/>
          <w:szCs w:val="22"/>
        </w:rPr>
        <w:t>capital structure</w:t>
      </w:r>
      <w:r w:rsidR="00E95185">
        <w:rPr>
          <w:rFonts w:cs="Arial"/>
          <w:sz w:val="22"/>
          <w:szCs w:val="22"/>
        </w:rPr>
        <w:t>: has leverage “worked”?</w:t>
      </w:r>
    </w:p>
    <w:p w14:paraId="11317B8F" w14:textId="1D52EB79" w:rsidR="00707CA5" w:rsidRPr="00E95185" w:rsidRDefault="00E95185" w:rsidP="00F20ADF">
      <w:pPr>
        <w:numPr>
          <w:ilvl w:val="0"/>
          <w:numId w:val="4"/>
        </w:numPr>
        <w:spacing w:before="120" w:after="120"/>
        <w:rPr>
          <w:rFonts w:cs="Arial"/>
          <w:sz w:val="22"/>
          <w:szCs w:val="22"/>
        </w:rPr>
      </w:pPr>
      <w:r w:rsidRPr="00E95185">
        <w:rPr>
          <w:rFonts w:cs="Arial"/>
          <w:sz w:val="22"/>
          <w:szCs w:val="22"/>
        </w:rPr>
        <w:t>Moving up the risk curve</w:t>
      </w:r>
      <w:r w:rsidR="00F06760">
        <w:rPr>
          <w:rFonts w:cs="Arial"/>
          <w:sz w:val="22"/>
          <w:szCs w:val="22"/>
        </w:rPr>
        <w:t xml:space="preserve"> I</w:t>
      </w:r>
    </w:p>
    <w:p w14:paraId="5D3420BD" w14:textId="77777777" w:rsidR="00440B01" w:rsidRPr="00C64412" w:rsidRDefault="00440B01" w:rsidP="002B0C78">
      <w:pPr>
        <w:spacing w:before="120" w:after="120"/>
        <w:ind w:left="72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00B0F0"/>
        <w:tblLook w:val="01E0" w:firstRow="1" w:lastRow="1" w:firstColumn="1" w:lastColumn="1" w:noHBand="0" w:noVBand="0"/>
      </w:tblPr>
      <w:tblGrid>
        <w:gridCol w:w="1842"/>
        <w:gridCol w:w="1366"/>
        <w:gridCol w:w="5426"/>
      </w:tblGrid>
      <w:tr w:rsidR="00D96D55" w:rsidRPr="004F6AB0" w14:paraId="10F0B47C" w14:textId="77777777">
        <w:tc>
          <w:tcPr>
            <w:tcW w:w="1067" w:type="pct"/>
            <w:shd w:val="clear" w:color="auto" w:fill="00B0F0"/>
          </w:tcPr>
          <w:p w14:paraId="70E1A959" w14:textId="77777777" w:rsidR="00D96D55" w:rsidRPr="004F6AB0" w:rsidRDefault="00D96D55" w:rsidP="00D96D5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Session 4</w:t>
            </w:r>
          </w:p>
        </w:tc>
        <w:tc>
          <w:tcPr>
            <w:tcW w:w="791" w:type="pct"/>
            <w:shd w:val="clear" w:color="auto" w:fill="00B0F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2A9D44" w14:textId="1368416F" w:rsidR="00D96D55" w:rsidRPr="004F6AB0" w:rsidRDefault="00081CB1" w:rsidP="00D96D5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  <w:r w:rsidR="00D96D55">
              <w:rPr>
                <w:rFonts w:ascii="Arial" w:hAnsi="Arial" w:cs="Arial"/>
                <w:b/>
                <w:color w:val="FFFFFF"/>
                <w:sz w:val="22"/>
                <w:szCs w:val="22"/>
              </w:rPr>
              <w:t>/</w:t>
            </w:r>
            <w:r w:rsidR="00D56DC5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3142" w:type="pct"/>
            <w:shd w:val="clear" w:color="auto" w:fill="00B0F0"/>
            <w:tcMar>
              <w:left w:w="115" w:type="dxa"/>
              <w:right w:w="115" w:type="dxa"/>
            </w:tcMar>
          </w:tcPr>
          <w:p w14:paraId="29DFFCC4" w14:textId="3C758221" w:rsidR="00D96D55" w:rsidRPr="004F6AB0" w:rsidRDefault="00EC01D0" w:rsidP="00EC01D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Higher Risk</w:t>
            </w:r>
            <w:r w:rsidR="00667C69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Real Estate </w:t>
            </w:r>
            <w:r w:rsidR="00667C69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Portfolios </w:t>
            </w:r>
          </w:p>
        </w:tc>
      </w:tr>
    </w:tbl>
    <w:p w14:paraId="61F5B49D" w14:textId="77777777" w:rsidR="00F45810" w:rsidRDefault="00F45810" w:rsidP="00F45810">
      <w:pPr>
        <w:pStyle w:val="ListParagraph"/>
        <w:numPr>
          <w:ilvl w:val="0"/>
          <w:numId w:val="12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Portfolio type: Closed-end value-add fund</w:t>
      </w:r>
    </w:p>
    <w:p w14:paraId="2A1ECB9F" w14:textId="77777777" w:rsidR="00F45810" w:rsidRDefault="00F45810" w:rsidP="00F45810">
      <w:pPr>
        <w:pStyle w:val="ListParagraph"/>
        <w:numPr>
          <w:ilvl w:val="0"/>
          <w:numId w:val="12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Session focus: Compared to core assets, how does one assess the risk from value-add strategies and the appropriate incremental returns? Does the approach to diversification differ from core funds? What liquidity management issues does a closed-end fund deal with?</w:t>
      </w:r>
    </w:p>
    <w:p w14:paraId="59E19047" w14:textId="0E65AE2C" w:rsidR="00752B5F" w:rsidRPr="00F45810" w:rsidRDefault="00840A1D" w:rsidP="00F45810">
      <w:pPr>
        <w:pStyle w:val="ListParagraph"/>
        <w:numPr>
          <w:ilvl w:val="0"/>
          <w:numId w:val="12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Guest speaker: </w:t>
      </w:r>
      <w:r w:rsidR="00667B4A">
        <w:rPr>
          <w:rFonts w:cs="Arial"/>
          <w:sz w:val="22"/>
          <w:szCs w:val="22"/>
        </w:rPr>
        <w:t>(</w:t>
      </w:r>
      <w:r w:rsidR="00081CB1">
        <w:rPr>
          <w:rFonts w:cs="Arial"/>
          <w:sz w:val="22"/>
          <w:szCs w:val="22"/>
        </w:rPr>
        <w:t>NA fall</w:t>
      </w:r>
      <w:r w:rsidR="00B466F5">
        <w:rPr>
          <w:rFonts w:cs="Arial"/>
          <w:sz w:val="22"/>
          <w:szCs w:val="22"/>
        </w:rPr>
        <w:t xml:space="preserve"> 20</w:t>
      </w:r>
      <w:r w:rsidR="00081CB1">
        <w:rPr>
          <w:rFonts w:cs="Arial"/>
          <w:sz w:val="22"/>
          <w:szCs w:val="22"/>
        </w:rPr>
        <w:t>20</w:t>
      </w:r>
      <w:r w:rsidR="00667B4A">
        <w:rPr>
          <w:rFonts w:cs="Arial"/>
          <w:sz w:val="22"/>
          <w:szCs w:val="22"/>
        </w:rPr>
        <w:t>)</w:t>
      </w:r>
    </w:p>
    <w:p w14:paraId="4614C9A1" w14:textId="4C58F4BD" w:rsidR="00440B01" w:rsidRDefault="00C74AC8" w:rsidP="00440B01">
      <w:pPr>
        <w:pStyle w:val="ListParagraph"/>
        <w:numPr>
          <w:ilvl w:val="0"/>
          <w:numId w:val="12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Moving up the risk curve</w:t>
      </w:r>
      <w:r w:rsidR="00F06760">
        <w:rPr>
          <w:rFonts w:cs="Arial"/>
          <w:sz w:val="22"/>
          <w:szCs w:val="22"/>
        </w:rPr>
        <w:t xml:space="preserve"> II</w:t>
      </w:r>
    </w:p>
    <w:p w14:paraId="0BB1DA18" w14:textId="1F504F96" w:rsidR="00F06760" w:rsidRDefault="00F06760" w:rsidP="00440B01">
      <w:pPr>
        <w:pStyle w:val="ListParagraph"/>
        <w:numPr>
          <w:ilvl w:val="0"/>
          <w:numId w:val="12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Investor experience in higher risk strategies</w:t>
      </w:r>
    </w:p>
    <w:p w14:paraId="6C9A0BAA" w14:textId="77777777" w:rsidR="00440B01" w:rsidRPr="00440B01" w:rsidRDefault="00440B01" w:rsidP="00440B01">
      <w:pPr>
        <w:pStyle w:val="ListParagraph"/>
        <w:spacing w:before="120"/>
        <w:ind w:left="108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00B0F0"/>
        <w:tblLook w:val="01E0" w:firstRow="1" w:lastRow="1" w:firstColumn="1" w:lastColumn="1" w:noHBand="0" w:noVBand="0"/>
      </w:tblPr>
      <w:tblGrid>
        <w:gridCol w:w="1842"/>
        <w:gridCol w:w="1366"/>
        <w:gridCol w:w="5426"/>
      </w:tblGrid>
      <w:tr w:rsidR="00D96D55" w:rsidRPr="004F6AB0" w14:paraId="1C2A6D16" w14:textId="77777777">
        <w:tc>
          <w:tcPr>
            <w:tcW w:w="1067" w:type="pct"/>
            <w:shd w:val="clear" w:color="auto" w:fill="00B0F0"/>
          </w:tcPr>
          <w:p w14:paraId="6F0CD0E3" w14:textId="77777777" w:rsidR="00D96D55" w:rsidRPr="004F6AB0" w:rsidRDefault="00D96D55" w:rsidP="00D96D5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Session 5</w:t>
            </w:r>
          </w:p>
        </w:tc>
        <w:tc>
          <w:tcPr>
            <w:tcW w:w="791" w:type="pct"/>
            <w:shd w:val="clear" w:color="auto" w:fill="00B0F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B67725" w14:textId="174F9248" w:rsidR="00D96D55" w:rsidRPr="004F6AB0" w:rsidRDefault="00D56DC5" w:rsidP="00D96D5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="00081CB1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="00A82965">
              <w:rPr>
                <w:rFonts w:ascii="Arial" w:hAnsi="Arial" w:cs="Arial"/>
                <w:b/>
                <w:color w:val="FFFFFF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="00081CB1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3142" w:type="pct"/>
            <w:shd w:val="clear" w:color="auto" w:fill="00B0F0"/>
            <w:tcMar>
              <w:left w:w="115" w:type="dxa"/>
              <w:right w:w="115" w:type="dxa"/>
            </w:tcMar>
          </w:tcPr>
          <w:p w14:paraId="4805A8D2" w14:textId="4AB4F6B0" w:rsidR="00D96D55" w:rsidRPr="004F6AB0" w:rsidRDefault="00EC01D0" w:rsidP="00CE6A1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Managing a Global</w:t>
            </w:r>
            <w:r w:rsidR="007A7889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Portfolio</w:t>
            </w:r>
          </w:p>
        </w:tc>
      </w:tr>
      <w:tr w:rsidR="00D96D55" w:rsidRPr="004F6AB0" w14:paraId="1109098C" w14:textId="77777777">
        <w:tc>
          <w:tcPr>
            <w:tcW w:w="1858" w:type="pct"/>
            <w:gridSpan w:val="2"/>
            <w:shd w:val="clear" w:color="auto" w:fill="auto"/>
          </w:tcPr>
          <w:p w14:paraId="22A7B4F1" w14:textId="77777777" w:rsidR="00D96D55" w:rsidRPr="00765E02" w:rsidRDefault="00D96D55" w:rsidP="00D96D55">
            <w:pPr>
              <w:jc w:val="righ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765E02">
              <w:rPr>
                <w:rFonts w:ascii="Arial" w:hAnsi="Arial" w:cs="Arial"/>
                <w:b/>
                <w:color w:val="00B0F0"/>
                <w:sz w:val="22"/>
                <w:szCs w:val="22"/>
              </w:rPr>
              <w:t>Written Assignment Due</w:t>
            </w:r>
          </w:p>
        </w:tc>
        <w:tc>
          <w:tcPr>
            <w:tcW w:w="3142" w:type="pct"/>
            <w:shd w:val="clear" w:color="auto" w:fill="auto"/>
            <w:tcMar>
              <w:left w:w="115" w:type="dxa"/>
              <w:right w:w="115" w:type="dxa"/>
            </w:tcMar>
          </w:tcPr>
          <w:p w14:paraId="16D55420" w14:textId="6B776543" w:rsidR="00D96D55" w:rsidRPr="0049275E" w:rsidRDefault="00751019" w:rsidP="00D96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much more return should an investor get for more risk?</w:t>
            </w:r>
          </w:p>
        </w:tc>
      </w:tr>
    </w:tbl>
    <w:p w14:paraId="7B4691CA" w14:textId="77777777" w:rsidR="00F45810" w:rsidRDefault="00F45810" w:rsidP="00F45810">
      <w:pPr>
        <w:pStyle w:val="ListParagraph"/>
        <w:numPr>
          <w:ilvl w:val="0"/>
          <w:numId w:val="13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Portfolio type: Globally diversified pension fund</w:t>
      </w:r>
    </w:p>
    <w:p w14:paraId="5D53E818" w14:textId="77777777" w:rsidR="00F45810" w:rsidRDefault="00F45810" w:rsidP="00F45810">
      <w:pPr>
        <w:pStyle w:val="ListParagraph"/>
        <w:numPr>
          <w:ilvl w:val="0"/>
          <w:numId w:val="13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Session focus: You can invest anywhere in the world. You can invest anywhere along the risk curve. You seek to meet a required rate of return. How do you design a suitable portfolio strategy? How do you implement it?</w:t>
      </w:r>
    </w:p>
    <w:p w14:paraId="17484D3B" w14:textId="5ADF606A" w:rsidR="00440B01" w:rsidRDefault="00B04FBE" w:rsidP="00EE4D7E">
      <w:pPr>
        <w:pStyle w:val="ListParagraph"/>
        <w:numPr>
          <w:ilvl w:val="0"/>
          <w:numId w:val="13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Guest speaker: </w:t>
      </w:r>
      <w:r w:rsidR="00667B4A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Manuel (Manny) Casagna, New York State Common Retirement System</w:t>
      </w:r>
      <w:r w:rsidR="00667B4A">
        <w:rPr>
          <w:rFonts w:cs="Arial"/>
          <w:sz w:val="22"/>
          <w:szCs w:val="22"/>
        </w:rPr>
        <w:t>)</w:t>
      </w:r>
    </w:p>
    <w:p w14:paraId="5058CACF" w14:textId="77777777" w:rsidR="0090151A" w:rsidRDefault="0090151A" w:rsidP="00EE4D7E">
      <w:pPr>
        <w:pStyle w:val="ListParagraph"/>
        <w:numPr>
          <w:ilvl w:val="0"/>
          <w:numId w:val="13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of assignment 2</w:t>
      </w:r>
    </w:p>
    <w:p w14:paraId="35C2F26C" w14:textId="3F80EEE0" w:rsidR="00C74AC8" w:rsidRDefault="00F06760" w:rsidP="00EE4D7E">
      <w:pPr>
        <w:pStyle w:val="ListParagraph"/>
        <w:numPr>
          <w:ilvl w:val="0"/>
          <w:numId w:val="13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Leverage: the last word?</w:t>
      </w:r>
    </w:p>
    <w:p w14:paraId="7EBBDA3E" w14:textId="6F2F2FD1" w:rsidR="00135EC5" w:rsidRPr="0090151A" w:rsidRDefault="00135EC5" w:rsidP="0090151A">
      <w:pPr>
        <w:spacing w:before="120"/>
        <w:ind w:left="360"/>
        <w:rPr>
          <w:rFonts w:cs="Arial"/>
          <w:sz w:val="22"/>
          <w:szCs w:val="22"/>
        </w:rPr>
      </w:pPr>
    </w:p>
    <w:p w14:paraId="14B65455" w14:textId="77777777" w:rsidR="00440B01" w:rsidRDefault="00440B01" w:rsidP="00440B01">
      <w:pPr>
        <w:ind w:left="720"/>
        <w:rPr>
          <w:rFonts w:cs="Arial"/>
          <w:sz w:val="22"/>
          <w:szCs w:val="22"/>
        </w:rPr>
      </w:pPr>
    </w:p>
    <w:p w14:paraId="16961536" w14:textId="77777777" w:rsidR="00440B01" w:rsidRPr="00440B01" w:rsidRDefault="00440B01" w:rsidP="00440B0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00B0F0"/>
        <w:tblLook w:val="01E0" w:firstRow="1" w:lastRow="1" w:firstColumn="1" w:lastColumn="1" w:noHBand="0" w:noVBand="0"/>
      </w:tblPr>
      <w:tblGrid>
        <w:gridCol w:w="1842"/>
        <w:gridCol w:w="1366"/>
        <w:gridCol w:w="5426"/>
      </w:tblGrid>
      <w:tr w:rsidR="00D96D55" w:rsidRPr="004F6AB0" w14:paraId="2892DA64" w14:textId="77777777">
        <w:tc>
          <w:tcPr>
            <w:tcW w:w="1067" w:type="pct"/>
            <w:shd w:val="clear" w:color="auto" w:fill="00B0F0"/>
          </w:tcPr>
          <w:p w14:paraId="49016607" w14:textId="77777777" w:rsidR="00D96D55" w:rsidRPr="004F6AB0" w:rsidRDefault="00D96D55" w:rsidP="00D96D5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Session 6</w:t>
            </w:r>
          </w:p>
        </w:tc>
        <w:tc>
          <w:tcPr>
            <w:tcW w:w="791" w:type="pct"/>
            <w:shd w:val="clear" w:color="auto" w:fill="00B0F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B40311" w14:textId="68F68BFD" w:rsidR="00D96D55" w:rsidRPr="004F6AB0" w:rsidRDefault="00D56DC5" w:rsidP="00D96D5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="00081CB1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="00D96D55">
              <w:rPr>
                <w:rFonts w:ascii="Arial" w:hAnsi="Arial" w:cs="Arial"/>
                <w:b/>
                <w:color w:val="FFFFFF"/>
                <w:sz w:val="22"/>
                <w:szCs w:val="22"/>
              </w:rPr>
              <w:t>/</w:t>
            </w:r>
            <w:r w:rsidR="00081CB1">
              <w:rPr>
                <w:rFonts w:ascii="Arial" w:hAnsi="Arial" w:cs="Arial"/>
                <w:b/>
                <w:color w:val="FFFFFF"/>
                <w:sz w:val="22"/>
                <w:szCs w:val="22"/>
              </w:rPr>
              <w:t>12</w:t>
            </w:r>
          </w:p>
        </w:tc>
        <w:tc>
          <w:tcPr>
            <w:tcW w:w="3142" w:type="pct"/>
            <w:shd w:val="clear" w:color="auto" w:fill="00B0F0"/>
            <w:tcMar>
              <w:left w:w="115" w:type="dxa"/>
              <w:right w:w="115" w:type="dxa"/>
            </w:tcMar>
          </w:tcPr>
          <w:p w14:paraId="75E68BEC" w14:textId="2F17CD3F" w:rsidR="00D96D55" w:rsidRPr="004F6AB0" w:rsidRDefault="00EC01D0" w:rsidP="00EC01D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Portfolio Manager Summit</w:t>
            </w:r>
          </w:p>
        </w:tc>
      </w:tr>
      <w:tr w:rsidR="002F37D1" w:rsidRPr="004F6AB0" w14:paraId="051C98F1" w14:textId="77777777" w:rsidTr="002F37D1">
        <w:tc>
          <w:tcPr>
            <w:tcW w:w="1858" w:type="pct"/>
            <w:gridSpan w:val="2"/>
            <w:shd w:val="clear" w:color="auto" w:fill="auto"/>
          </w:tcPr>
          <w:p w14:paraId="4A4C0CEA" w14:textId="643DCEAD" w:rsidR="002F37D1" w:rsidRPr="004F6AB0" w:rsidRDefault="0090151A" w:rsidP="0090151A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DDF</w:t>
            </w:r>
          </w:p>
        </w:tc>
        <w:tc>
          <w:tcPr>
            <w:tcW w:w="3142" w:type="pct"/>
            <w:shd w:val="clear" w:color="auto" w:fill="auto"/>
            <w:tcMar>
              <w:left w:w="115" w:type="dxa"/>
              <w:right w:w="115" w:type="dxa"/>
            </w:tcMar>
          </w:tcPr>
          <w:p w14:paraId="62983B02" w14:textId="546FC8C1" w:rsidR="002F37D1" w:rsidRPr="00A972E8" w:rsidRDefault="0090151A" w:rsidP="002F37D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 Friday session, not Tuesday</w:t>
            </w:r>
          </w:p>
        </w:tc>
      </w:tr>
    </w:tbl>
    <w:p w14:paraId="0FDD3F41" w14:textId="6E4D99EB" w:rsidR="00580251" w:rsidRDefault="00580251" w:rsidP="00D96D55">
      <w:pPr>
        <w:pStyle w:val="ListParagraph"/>
        <w:numPr>
          <w:ilvl w:val="0"/>
          <w:numId w:val="14"/>
        </w:numPr>
        <w:spacing w:before="120"/>
        <w:rPr>
          <w:sz w:val="22"/>
          <w:szCs w:val="22"/>
        </w:rPr>
      </w:pPr>
      <w:r w:rsidRPr="00580251">
        <w:rPr>
          <w:sz w:val="22"/>
          <w:szCs w:val="22"/>
        </w:rPr>
        <w:t xml:space="preserve">Presentations </w:t>
      </w:r>
      <w:r w:rsidR="00367286">
        <w:rPr>
          <w:sz w:val="22"/>
          <w:szCs w:val="22"/>
        </w:rPr>
        <w:t xml:space="preserve">by </w:t>
      </w:r>
      <w:r w:rsidRPr="00580251">
        <w:rPr>
          <w:sz w:val="22"/>
          <w:szCs w:val="22"/>
        </w:rPr>
        <w:t>and conversations with real estate portfolio managers</w:t>
      </w:r>
      <w:r w:rsidR="00840A1D">
        <w:rPr>
          <w:sz w:val="22"/>
          <w:szCs w:val="22"/>
        </w:rPr>
        <w:t>:</w:t>
      </w:r>
      <w:r w:rsidR="00B9383F">
        <w:rPr>
          <w:sz w:val="22"/>
          <w:szCs w:val="22"/>
        </w:rPr>
        <w:t xml:space="preserve"> </w:t>
      </w:r>
      <w:r w:rsidR="00667B4A">
        <w:rPr>
          <w:sz w:val="22"/>
          <w:szCs w:val="22"/>
        </w:rPr>
        <w:t>(</w:t>
      </w:r>
      <w:r w:rsidR="00081CB1">
        <w:rPr>
          <w:sz w:val="22"/>
          <w:szCs w:val="22"/>
        </w:rPr>
        <w:t>Sue Kolasa --</w:t>
      </w:r>
      <w:r w:rsidR="00667B4A">
        <w:rPr>
          <w:sz w:val="22"/>
          <w:szCs w:val="22"/>
        </w:rPr>
        <w:t xml:space="preserve"> JPMorgan, Ivo de Wit</w:t>
      </w:r>
      <w:r w:rsidR="00081CB1">
        <w:rPr>
          <w:sz w:val="22"/>
          <w:szCs w:val="22"/>
        </w:rPr>
        <w:t xml:space="preserve"> --</w:t>
      </w:r>
      <w:r w:rsidR="00667B4A">
        <w:rPr>
          <w:sz w:val="22"/>
          <w:szCs w:val="22"/>
        </w:rPr>
        <w:t xml:space="preserve"> CBRE Global Investors</w:t>
      </w:r>
      <w:r w:rsidR="00D56DC5">
        <w:rPr>
          <w:sz w:val="22"/>
          <w:szCs w:val="22"/>
        </w:rPr>
        <w:t xml:space="preserve">, </w:t>
      </w:r>
      <w:proofErr w:type="spellStart"/>
      <w:r w:rsidR="00D56DC5">
        <w:rPr>
          <w:sz w:val="22"/>
          <w:szCs w:val="22"/>
        </w:rPr>
        <w:t>Uchi</w:t>
      </w:r>
      <w:proofErr w:type="spellEnd"/>
      <w:r w:rsidR="00D56DC5">
        <w:rPr>
          <w:sz w:val="22"/>
          <w:szCs w:val="22"/>
        </w:rPr>
        <w:t xml:space="preserve"> </w:t>
      </w:r>
      <w:proofErr w:type="spellStart"/>
      <w:r w:rsidR="00D56DC5">
        <w:rPr>
          <w:sz w:val="22"/>
          <w:szCs w:val="22"/>
        </w:rPr>
        <w:t>Akeujo</w:t>
      </w:r>
      <w:proofErr w:type="spellEnd"/>
      <w:r w:rsidR="00081CB1">
        <w:rPr>
          <w:sz w:val="22"/>
          <w:szCs w:val="22"/>
        </w:rPr>
        <w:t xml:space="preserve"> --</w:t>
      </w:r>
      <w:r w:rsidR="00D56DC5">
        <w:rPr>
          <w:sz w:val="22"/>
          <w:szCs w:val="22"/>
        </w:rPr>
        <w:t xml:space="preserve"> Simon Property Group)</w:t>
      </w:r>
    </w:p>
    <w:p w14:paraId="4DFB99AE" w14:textId="35D048A0" w:rsidR="00580251" w:rsidRDefault="00580251" w:rsidP="00D96D55">
      <w:pPr>
        <w:pStyle w:val="ListParagraph"/>
        <w:numPr>
          <w:ilvl w:val="0"/>
          <w:numId w:val="14"/>
        </w:numPr>
        <w:spacing w:before="120"/>
        <w:rPr>
          <w:sz w:val="22"/>
          <w:szCs w:val="22"/>
        </w:rPr>
      </w:pPr>
      <w:r w:rsidRPr="00580251">
        <w:rPr>
          <w:sz w:val="22"/>
          <w:szCs w:val="22"/>
        </w:rPr>
        <w:t>Course summary and wrap up.</w:t>
      </w:r>
    </w:p>
    <w:p w14:paraId="1D29720C" w14:textId="77777777" w:rsidR="00580251" w:rsidRDefault="00580251" w:rsidP="00580251">
      <w:pPr>
        <w:spacing w:before="120"/>
        <w:rPr>
          <w:sz w:val="22"/>
          <w:szCs w:val="22"/>
        </w:rPr>
      </w:pPr>
    </w:p>
    <w:p w14:paraId="3C9340F1" w14:textId="52E76FCA" w:rsidR="00E079BE" w:rsidRDefault="00A04779" w:rsidP="00A0477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FINAL PROJECT (Main Street Property Fund case) is due on October </w:t>
      </w:r>
      <w:r>
        <w:rPr>
          <w:sz w:val="22"/>
          <w:szCs w:val="22"/>
        </w:rPr>
        <w:t>19</w:t>
      </w:r>
      <w:r>
        <w:rPr>
          <w:sz w:val="22"/>
          <w:szCs w:val="22"/>
        </w:rPr>
        <w:t>. There is no class meeting that day.</w:t>
      </w:r>
    </w:p>
    <w:p w14:paraId="69AFDB39" w14:textId="77777777" w:rsidR="00E079BE" w:rsidRDefault="00E079B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48212E3" w14:textId="77777777" w:rsidR="00E079BE" w:rsidRPr="00075F09" w:rsidRDefault="00E079BE" w:rsidP="00E079BE">
      <w:pPr>
        <w:spacing w:after="120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lastRenderedPageBreak/>
        <w:t xml:space="preserve">B8336: Real Estate Portfolio Management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</w:tblGrid>
      <w:tr w:rsidR="00E079BE" w:rsidRPr="0064579D" w14:paraId="6A5BA51C" w14:textId="77777777" w:rsidTr="00347A5F">
        <w:tc>
          <w:tcPr>
            <w:tcW w:w="4428" w:type="dxa"/>
          </w:tcPr>
          <w:p w14:paraId="0D1B4611" w14:textId="77777777" w:rsidR="00E079BE" w:rsidRPr="0064579D" w:rsidRDefault="00E079BE" w:rsidP="00347A5F">
            <w:pPr>
              <w:ind w:left="252" w:hanging="252"/>
              <w:rPr>
                <w:rFonts w:ascii="Arial" w:hAnsi="Arial" w:cs="Arial"/>
                <w:b/>
              </w:rPr>
            </w:pPr>
            <w:r>
              <w:rPr>
                <w:sz w:val="22"/>
                <w:szCs w:val="22"/>
              </w:rPr>
              <w:t xml:space="preserve">Prof. </w:t>
            </w:r>
            <w:r w:rsidRPr="0064579D">
              <w:rPr>
                <w:sz w:val="22"/>
                <w:szCs w:val="22"/>
              </w:rPr>
              <w:t>Michael Giliberto</w:t>
            </w:r>
          </w:p>
        </w:tc>
      </w:tr>
      <w:tr w:rsidR="00E079BE" w:rsidRPr="003F70C0" w14:paraId="3E420876" w14:textId="77777777" w:rsidTr="00347A5F">
        <w:tc>
          <w:tcPr>
            <w:tcW w:w="4428" w:type="dxa"/>
          </w:tcPr>
          <w:p w14:paraId="58DA0015" w14:textId="77777777" w:rsidR="00E079BE" w:rsidRPr="003F70C0" w:rsidRDefault="00E079BE" w:rsidP="00347A5F">
            <w:pPr>
              <w:ind w:left="-18" w:firstLine="18"/>
              <w:rPr>
                <w:sz w:val="22"/>
                <w:szCs w:val="22"/>
              </w:rPr>
            </w:pPr>
            <w:r w:rsidRPr="003F70C0">
              <w:rPr>
                <w:sz w:val="22"/>
                <w:szCs w:val="22"/>
              </w:rPr>
              <w:t>mg2786@columbia.edu</w:t>
            </w:r>
          </w:p>
        </w:tc>
      </w:tr>
    </w:tbl>
    <w:p w14:paraId="064B60C0" w14:textId="77777777" w:rsidR="00E079BE" w:rsidRDefault="00E079BE" w:rsidP="00E079BE">
      <w:pPr>
        <w:rPr>
          <w:b/>
        </w:rPr>
      </w:pPr>
    </w:p>
    <w:p w14:paraId="14CB5CFA" w14:textId="77777777" w:rsidR="00E079BE" w:rsidRDefault="00E079BE" w:rsidP="00E079BE">
      <w:pPr>
        <w:rPr>
          <w:b/>
        </w:rPr>
      </w:pPr>
    </w:p>
    <w:p w14:paraId="58BA9146" w14:textId="77777777" w:rsidR="00E079BE" w:rsidRDefault="00E079BE" w:rsidP="00E079BE">
      <w:pPr>
        <w:rPr>
          <w:b/>
        </w:rPr>
      </w:pPr>
      <w:r>
        <w:rPr>
          <w:b/>
        </w:rPr>
        <w:t>Capital Markets Background</w:t>
      </w:r>
    </w:p>
    <w:p w14:paraId="08641BF3" w14:textId="77777777" w:rsidR="00E079BE" w:rsidRDefault="00E079BE" w:rsidP="00E079BE">
      <w:pPr>
        <w:rPr>
          <w:b/>
        </w:rPr>
      </w:pPr>
    </w:p>
    <w:p w14:paraId="0390F3E0" w14:textId="45967BCC" w:rsidR="00E079BE" w:rsidRPr="00263E4C" w:rsidRDefault="0090151A" w:rsidP="00E079BE">
      <w:r>
        <w:t>B</w:t>
      </w:r>
      <w:r w:rsidR="00DB1B1A">
        <w:t xml:space="preserve">ackground work in </w:t>
      </w:r>
      <w:r w:rsidR="00E079BE">
        <w:t>real estate capital markets is recommended</w:t>
      </w:r>
      <w:r w:rsidR="00DB1B1A">
        <w:t xml:space="preserve">, </w:t>
      </w:r>
      <w:r w:rsidR="00E079BE">
        <w:t xml:space="preserve">but </w:t>
      </w:r>
      <w:r w:rsidR="00DB1B1A">
        <w:t xml:space="preserve">it </w:t>
      </w:r>
      <w:r w:rsidR="00E079BE">
        <w:t xml:space="preserve">is not a prerequisite for Real Estate Portfolio Management. Whether you’ve taken or are taking a capital markets course, </w:t>
      </w:r>
      <w:r w:rsidR="00E079BE" w:rsidRPr="00263E4C">
        <w:t xml:space="preserve">I expect you to have </w:t>
      </w:r>
      <w:r w:rsidR="00E079BE">
        <w:t xml:space="preserve">basic knowledge of </w:t>
      </w:r>
      <w:r w:rsidR="00E079BE" w:rsidRPr="00263E4C">
        <w:t xml:space="preserve">topics </w:t>
      </w:r>
      <w:r w:rsidR="00E079BE">
        <w:t>listed below prior to the start of class. This may come from prior course work</w:t>
      </w:r>
      <w:r w:rsidR="00DB1B1A">
        <w:t xml:space="preserve"> – I have been assured that much of this is covered in </w:t>
      </w:r>
      <w:r>
        <w:t xml:space="preserve">prerequisite courses </w:t>
      </w:r>
      <w:r w:rsidR="00DB1B1A">
        <w:t xml:space="preserve">-- </w:t>
      </w:r>
      <w:r w:rsidR="00E079BE">
        <w:t xml:space="preserve">and/or your own </w:t>
      </w:r>
      <w:r w:rsidR="00E079BE" w:rsidRPr="00263E4C">
        <w:t xml:space="preserve">study. I </w:t>
      </w:r>
      <w:r>
        <w:t>will</w:t>
      </w:r>
      <w:r w:rsidR="00E079BE" w:rsidRPr="00263E4C">
        <w:t xml:space="preserve"> post material on Canvas that may be helpful as guides or refreshers</w:t>
      </w:r>
      <w:r w:rsidR="00E079BE">
        <w:t xml:space="preserve"> for some of these in the Pre-Readings section for Session 1.</w:t>
      </w:r>
    </w:p>
    <w:p w14:paraId="6AE88D7F" w14:textId="77777777" w:rsidR="00E079BE" w:rsidRDefault="00E079BE" w:rsidP="00E079BE"/>
    <w:p w14:paraId="76893905" w14:textId="77777777" w:rsidR="00E079BE" w:rsidRDefault="00E079BE" w:rsidP="00E079BE">
      <w:pPr>
        <w:pStyle w:val="ListParagraph"/>
        <w:numPr>
          <w:ilvl w:val="0"/>
          <w:numId w:val="18"/>
        </w:numPr>
        <w:contextualSpacing/>
      </w:pPr>
      <w:r>
        <w:t>Concepts and calculations</w:t>
      </w:r>
    </w:p>
    <w:p w14:paraId="095D66A3" w14:textId="77777777" w:rsidR="00E079BE" w:rsidRDefault="00E079BE" w:rsidP="00E079BE"/>
    <w:p w14:paraId="5F372B64" w14:textId="77777777" w:rsidR="00E079BE" w:rsidRDefault="00E079BE" w:rsidP="00E079BE">
      <w:pPr>
        <w:pStyle w:val="ListParagraph"/>
        <w:numPr>
          <w:ilvl w:val="1"/>
          <w:numId w:val="18"/>
        </w:numPr>
        <w:contextualSpacing/>
      </w:pPr>
      <w:r>
        <w:t>Marginal cost of debt</w:t>
      </w:r>
    </w:p>
    <w:p w14:paraId="628893A9" w14:textId="77777777" w:rsidR="00E079BE" w:rsidRDefault="00E079BE" w:rsidP="00E079BE">
      <w:pPr>
        <w:pStyle w:val="ListParagraph"/>
        <w:numPr>
          <w:ilvl w:val="1"/>
          <w:numId w:val="18"/>
        </w:numPr>
        <w:contextualSpacing/>
      </w:pPr>
      <w:r>
        <w:t>Leveraged return given unleveraged return and debt parameters</w:t>
      </w:r>
    </w:p>
    <w:p w14:paraId="2C95AFA9" w14:textId="77777777" w:rsidR="00E079BE" w:rsidRDefault="00E079BE" w:rsidP="00E079BE">
      <w:pPr>
        <w:pStyle w:val="ListParagraph"/>
        <w:numPr>
          <w:ilvl w:val="1"/>
          <w:numId w:val="18"/>
        </w:numPr>
        <w:contextualSpacing/>
      </w:pPr>
      <w:r>
        <w:t>WACC</w:t>
      </w:r>
    </w:p>
    <w:p w14:paraId="0580A424" w14:textId="77777777" w:rsidR="00E079BE" w:rsidRDefault="00E079BE" w:rsidP="00E079BE">
      <w:pPr>
        <w:pStyle w:val="ListParagraph"/>
        <w:numPr>
          <w:ilvl w:val="1"/>
          <w:numId w:val="18"/>
        </w:numPr>
        <w:contextualSpacing/>
      </w:pPr>
      <w:r>
        <w:t>Alpha and beta</w:t>
      </w:r>
    </w:p>
    <w:p w14:paraId="33259FF8" w14:textId="77777777" w:rsidR="00E079BE" w:rsidRDefault="00E079BE" w:rsidP="00E079BE">
      <w:pPr>
        <w:pStyle w:val="ListParagraph"/>
        <w:ind w:left="2160"/>
      </w:pPr>
    </w:p>
    <w:p w14:paraId="4576AAFC" w14:textId="77777777" w:rsidR="00E079BE" w:rsidRDefault="00E079BE" w:rsidP="00E079BE">
      <w:pPr>
        <w:pStyle w:val="ListParagraph"/>
        <w:numPr>
          <w:ilvl w:val="0"/>
          <w:numId w:val="18"/>
        </w:numPr>
        <w:contextualSpacing/>
      </w:pPr>
      <w:r>
        <w:t>Time-weighted and dollar-weighted (IRR) returns</w:t>
      </w:r>
    </w:p>
    <w:p w14:paraId="748A60BB" w14:textId="77777777" w:rsidR="00E079BE" w:rsidRDefault="00E079BE" w:rsidP="00E079BE"/>
    <w:p w14:paraId="7BADE84E" w14:textId="77777777" w:rsidR="00E079BE" w:rsidRDefault="00E079BE" w:rsidP="00E079BE">
      <w:pPr>
        <w:pStyle w:val="ListParagraph"/>
        <w:numPr>
          <w:ilvl w:val="0"/>
          <w:numId w:val="18"/>
        </w:numPr>
        <w:contextualSpacing/>
      </w:pPr>
      <w:r>
        <w:t>Open- versus closed-end fund structures</w:t>
      </w:r>
    </w:p>
    <w:p w14:paraId="59B5FAA3" w14:textId="77777777" w:rsidR="00E079BE" w:rsidRDefault="00E079BE" w:rsidP="00E079BE">
      <w:pPr>
        <w:contextualSpacing/>
      </w:pPr>
    </w:p>
    <w:p w14:paraId="355D1442" w14:textId="77777777" w:rsidR="00E079BE" w:rsidRDefault="00E079BE" w:rsidP="00E079BE">
      <w:pPr>
        <w:pStyle w:val="ListParagraph"/>
        <w:numPr>
          <w:ilvl w:val="1"/>
          <w:numId w:val="18"/>
        </w:numPr>
        <w:contextualSpacing/>
      </w:pPr>
      <w:r>
        <w:t>Concepts</w:t>
      </w:r>
    </w:p>
    <w:p w14:paraId="4EDF0809" w14:textId="77777777" w:rsidR="00E079BE" w:rsidRDefault="00E079BE" w:rsidP="00E079BE">
      <w:pPr>
        <w:pStyle w:val="ListParagraph"/>
        <w:numPr>
          <w:ilvl w:val="1"/>
          <w:numId w:val="18"/>
        </w:numPr>
        <w:contextualSpacing/>
      </w:pPr>
      <w:r>
        <w:t>Fee arrangements</w:t>
      </w:r>
    </w:p>
    <w:p w14:paraId="5D4415DD" w14:textId="77777777" w:rsidR="00E079BE" w:rsidRDefault="00E079BE" w:rsidP="00E079BE"/>
    <w:p w14:paraId="18079BE6" w14:textId="77777777" w:rsidR="00E079BE" w:rsidRDefault="00E079BE" w:rsidP="00E079BE">
      <w:pPr>
        <w:pStyle w:val="ListParagraph"/>
        <w:numPr>
          <w:ilvl w:val="0"/>
          <w:numId w:val="18"/>
        </w:numPr>
        <w:contextualSpacing/>
      </w:pPr>
      <w:r>
        <w:t>Basics of JV structures</w:t>
      </w:r>
    </w:p>
    <w:p w14:paraId="76F48D82" w14:textId="77777777" w:rsidR="00E079BE" w:rsidRDefault="00E079BE" w:rsidP="00E079BE"/>
    <w:p w14:paraId="1EE5B4F5" w14:textId="77777777" w:rsidR="00E079BE" w:rsidRDefault="00E079BE" w:rsidP="00E079BE">
      <w:pPr>
        <w:pStyle w:val="ListParagraph"/>
        <w:numPr>
          <w:ilvl w:val="0"/>
          <w:numId w:val="18"/>
        </w:numPr>
        <w:contextualSpacing/>
      </w:pPr>
      <w:r>
        <w:t>Marginal buyer as the “price setter” in a competitive market</w:t>
      </w:r>
    </w:p>
    <w:p w14:paraId="6D5BD0E0" w14:textId="77777777" w:rsidR="00E079BE" w:rsidRDefault="00E079BE" w:rsidP="00E079BE"/>
    <w:p w14:paraId="76691237" w14:textId="76BACAA1" w:rsidR="00E079BE" w:rsidRDefault="00081CB1" w:rsidP="00E079BE">
      <w:pPr>
        <w:pStyle w:val="ListParagraph"/>
        <w:numPr>
          <w:ilvl w:val="0"/>
          <w:numId w:val="18"/>
        </w:numPr>
        <w:contextualSpacing/>
      </w:pPr>
      <w:r>
        <w:t>Basics of real estate investment trusts (</w:t>
      </w:r>
      <w:r w:rsidR="00E079BE">
        <w:t>REIT</w:t>
      </w:r>
      <w:r>
        <w:t>s)</w:t>
      </w:r>
    </w:p>
    <w:p w14:paraId="37ECB71A" w14:textId="77777777" w:rsidR="00E079BE" w:rsidRPr="00580251" w:rsidRDefault="00E079BE" w:rsidP="00E079BE">
      <w:pPr>
        <w:spacing w:before="240" w:after="240"/>
        <w:rPr>
          <w:sz w:val="22"/>
          <w:szCs w:val="22"/>
        </w:rPr>
      </w:pPr>
    </w:p>
    <w:p w14:paraId="5C15067B" w14:textId="77777777" w:rsidR="00580251" w:rsidRPr="00580251" w:rsidRDefault="00580251" w:rsidP="00580251">
      <w:pPr>
        <w:spacing w:before="120"/>
        <w:rPr>
          <w:sz w:val="22"/>
          <w:szCs w:val="22"/>
        </w:rPr>
      </w:pPr>
    </w:p>
    <w:sectPr w:rsidR="00580251" w:rsidRPr="00580251" w:rsidSect="00D96D55">
      <w:headerReference w:type="default" r:id="rId7"/>
      <w:footerReference w:type="even" r:id="rId8"/>
      <w:footerReference w:type="default" r:id="rId9"/>
      <w:pgSz w:w="12240" w:h="15840"/>
      <w:pgMar w:top="18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0DEA" w14:textId="77777777" w:rsidR="00BF6B40" w:rsidRDefault="00BF6B40">
      <w:r>
        <w:separator/>
      </w:r>
    </w:p>
  </w:endnote>
  <w:endnote w:type="continuationSeparator" w:id="0">
    <w:p w14:paraId="2772896C" w14:textId="77777777" w:rsidR="00BF6B40" w:rsidRDefault="00BF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1D12" w14:textId="77777777" w:rsidR="006A7AE5" w:rsidRDefault="006A7AE5" w:rsidP="006A7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415E1" w14:textId="77777777" w:rsidR="006A7AE5" w:rsidRDefault="006A7AE5" w:rsidP="00584C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EE4C" w14:textId="77777777" w:rsidR="006A7AE5" w:rsidRDefault="006A7AE5" w:rsidP="006A7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8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6D075" w14:textId="77777777" w:rsidR="006A7AE5" w:rsidRDefault="006A7AE5" w:rsidP="00584C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E139" w14:textId="77777777" w:rsidR="00BF6B40" w:rsidRDefault="00BF6B40">
      <w:r>
        <w:separator/>
      </w:r>
    </w:p>
  </w:footnote>
  <w:footnote w:type="continuationSeparator" w:id="0">
    <w:p w14:paraId="6CC1173D" w14:textId="77777777" w:rsidR="00BF6B40" w:rsidRDefault="00BF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3822" w14:textId="657D5022" w:rsidR="006A7AE5" w:rsidRDefault="006A7AE5" w:rsidP="00D96D55">
    <w:pPr>
      <w:pStyle w:val="Header"/>
      <w:pBdr>
        <w:bottom w:val="single" w:sz="18" w:space="1" w:color="auto"/>
      </w:pBdr>
    </w:pPr>
    <w:r>
      <w:rPr>
        <w:noProof/>
        <w:lang w:eastAsia="en-US"/>
      </w:rPr>
      <w:drawing>
        <wp:inline distT="0" distB="0" distL="0" distR="0" wp14:anchorId="77A9A866" wp14:editId="42AE3FCA">
          <wp:extent cx="2675255" cy="457200"/>
          <wp:effectExtent l="0" t="0" r="0" b="0"/>
          <wp:docPr id="1" name="Picture 1" descr="C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052A9" w14:textId="77777777" w:rsidR="006A7AE5" w:rsidRPr="004E651A" w:rsidRDefault="006A7AE5" w:rsidP="00D96D55">
    <w:pPr>
      <w:pStyle w:val="Header"/>
      <w:pBdr>
        <w:bottom w:val="single" w:sz="18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396"/>
    <w:multiLevelType w:val="hybridMultilevel"/>
    <w:tmpl w:val="06BE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6C9"/>
    <w:multiLevelType w:val="hybridMultilevel"/>
    <w:tmpl w:val="14CA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0C04"/>
    <w:multiLevelType w:val="hybridMultilevel"/>
    <w:tmpl w:val="722A23FE"/>
    <w:lvl w:ilvl="0" w:tplc="3B989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1C4A"/>
    <w:multiLevelType w:val="hybridMultilevel"/>
    <w:tmpl w:val="0FE4E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57606"/>
    <w:multiLevelType w:val="hybridMultilevel"/>
    <w:tmpl w:val="273ECEDE"/>
    <w:lvl w:ilvl="0" w:tplc="3B989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66E39"/>
    <w:multiLevelType w:val="hybridMultilevel"/>
    <w:tmpl w:val="7FC8BA7A"/>
    <w:lvl w:ilvl="0" w:tplc="3B989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8200F"/>
    <w:multiLevelType w:val="hybridMultilevel"/>
    <w:tmpl w:val="978C7F68"/>
    <w:lvl w:ilvl="0" w:tplc="2F9CB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55845"/>
    <w:multiLevelType w:val="hybridMultilevel"/>
    <w:tmpl w:val="4AB8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10774"/>
    <w:multiLevelType w:val="hybridMultilevel"/>
    <w:tmpl w:val="E3DE66D4"/>
    <w:lvl w:ilvl="0" w:tplc="27EAB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25737"/>
    <w:multiLevelType w:val="hybridMultilevel"/>
    <w:tmpl w:val="1DDE19E4"/>
    <w:lvl w:ilvl="0" w:tplc="3B989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5489A"/>
    <w:multiLevelType w:val="hybridMultilevel"/>
    <w:tmpl w:val="5AFCF638"/>
    <w:lvl w:ilvl="0" w:tplc="9A6812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B0F0"/>
      </w:rPr>
    </w:lvl>
    <w:lvl w:ilvl="1" w:tplc="5C8AB8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E6B2C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C55788"/>
    <w:multiLevelType w:val="hybridMultilevel"/>
    <w:tmpl w:val="8C78766A"/>
    <w:lvl w:ilvl="0" w:tplc="2F9CB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462E3"/>
    <w:multiLevelType w:val="hybridMultilevel"/>
    <w:tmpl w:val="DC08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2502B"/>
    <w:multiLevelType w:val="hybridMultilevel"/>
    <w:tmpl w:val="AA2A797A"/>
    <w:lvl w:ilvl="0" w:tplc="3B989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06632"/>
    <w:multiLevelType w:val="hybridMultilevel"/>
    <w:tmpl w:val="00BA3004"/>
    <w:lvl w:ilvl="0" w:tplc="9A6812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B0F0"/>
      </w:rPr>
    </w:lvl>
    <w:lvl w:ilvl="1" w:tplc="5C8AB8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E6B2C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AD5F27"/>
    <w:multiLevelType w:val="hybridMultilevel"/>
    <w:tmpl w:val="594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02FB3"/>
    <w:multiLevelType w:val="hybridMultilevel"/>
    <w:tmpl w:val="5FE6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01674"/>
    <w:multiLevelType w:val="hybridMultilevel"/>
    <w:tmpl w:val="10FCF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13"/>
  </w:num>
  <w:num w:numId="8">
    <w:abstractNumId w:val="17"/>
  </w:num>
  <w:num w:numId="9">
    <w:abstractNumId w:val="3"/>
  </w:num>
  <w:num w:numId="10">
    <w:abstractNumId w:val="0"/>
  </w:num>
  <w:num w:numId="11">
    <w:abstractNumId w:val="12"/>
  </w:num>
  <w:num w:numId="12">
    <w:abstractNumId w:val="16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8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D3"/>
    <w:rsid w:val="00006AD3"/>
    <w:rsid w:val="00046FC5"/>
    <w:rsid w:val="00064A7B"/>
    <w:rsid w:val="0008124B"/>
    <w:rsid w:val="00081CB1"/>
    <w:rsid w:val="0009744E"/>
    <w:rsid w:val="000C10C7"/>
    <w:rsid w:val="000D1DCC"/>
    <w:rsid w:val="000F4FC9"/>
    <w:rsid w:val="001078E2"/>
    <w:rsid w:val="00116428"/>
    <w:rsid w:val="00117019"/>
    <w:rsid w:val="00135EC5"/>
    <w:rsid w:val="00137860"/>
    <w:rsid w:val="00156155"/>
    <w:rsid w:val="001A5085"/>
    <w:rsid w:val="001C583C"/>
    <w:rsid w:val="001D70BB"/>
    <w:rsid w:val="0021632D"/>
    <w:rsid w:val="00266886"/>
    <w:rsid w:val="00270F28"/>
    <w:rsid w:val="00275C52"/>
    <w:rsid w:val="00277E34"/>
    <w:rsid w:val="002855BF"/>
    <w:rsid w:val="002B0C78"/>
    <w:rsid w:val="002C00DC"/>
    <w:rsid w:val="002E2E92"/>
    <w:rsid w:val="002F37D1"/>
    <w:rsid w:val="00305576"/>
    <w:rsid w:val="00364DAF"/>
    <w:rsid w:val="00367286"/>
    <w:rsid w:val="00384609"/>
    <w:rsid w:val="003B384F"/>
    <w:rsid w:val="003D221C"/>
    <w:rsid w:val="003F2D4D"/>
    <w:rsid w:val="00440B01"/>
    <w:rsid w:val="00451FE7"/>
    <w:rsid w:val="00454029"/>
    <w:rsid w:val="00466D99"/>
    <w:rsid w:val="004769D0"/>
    <w:rsid w:val="0049275E"/>
    <w:rsid w:val="004A3169"/>
    <w:rsid w:val="004E21C4"/>
    <w:rsid w:val="004F3EC7"/>
    <w:rsid w:val="00511AD6"/>
    <w:rsid w:val="00513F5C"/>
    <w:rsid w:val="00564E2F"/>
    <w:rsid w:val="00580251"/>
    <w:rsid w:val="00584CE3"/>
    <w:rsid w:val="005E0480"/>
    <w:rsid w:val="005F1E09"/>
    <w:rsid w:val="005F52C6"/>
    <w:rsid w:val="00623782"/>
    <w:rsid w:val="00644697"/>
    <w:rsid w:val="00667B4A"/>
    <w:rsid w:val="00667C69"/>
    <w:rsid w:val="006A598B"/>
    <w:rsid w:val="006A7AE5"/>
    <w:rsid w:val="006C64ED"/>
    <w:rsid w:val="006E6021"/>
    <w:rsid w:val="006F46FF"/>
    <w:rsid w:val="007010FA"/>
    <w:rsid w:val="00704AD5"/>
    <w:rsid w:val="00707CA5"/>
    <w:rsid w:val="007175C6"/>
    <w:rsid w:val="00751019"/>
    <w:rsid w:val="00752755"/>
    <w:rsid w:val="00752B5F"/>
    <w:rsid w:val="007861E6"/>
    <w:rsid w:val="00792D9B"/>
    <w:rsid w:val="007A7889"/>
    <w:rsid w:val="007B7E80"/>
    <w:rsid w:val="007E025C"/>
    <w:rsid w:val="0080487F"/>
    <w:rsid w:val="00840A1D"/>
    <w:rsid w:val="00866A80"/>
    <w:rsid w:val="008918F5"/>
    <w:rsid w:val="00894E5F"/>
    <w:rsid w:val="008A1307"/>
    <w:rsid w:val="008F6063"/>
    <w:rsid w:val="0090151A"/>
    <w:rsid w:val="00905F5A"/>
    <w:rsid w:val="00912BB1"/>
    <w:rsid w:val="00921268"/>
    <w:rsid w:val="00944CB6"/>
    <w:rsid w:val="009924E7"/>
    <w:rsid w:val="009A3E30"/>
    <w:rsid w:val="009C6AE9"/>
    <w:rsid w:val="009D735C"/>
    <w:rsid w:val="009E3609"/>
    <w:rsid w:val="00A0163E"/>
    <w:rsid w:val="00A04779"/>
    <w:rsid w:val="00A35CF0"/>
    <w:rsid w:val="00A60819"/>
    <w:rsid w:val="00A638DD"/>
    <w:rsid w:val="00A8261F"/>
    <w:rsid w:val="00A82965"/>
    <w:rsid w:val="00AA4D51"/>
    <w:rsid w:val="00AC1404"/>
    <w:rsid w:val="00AF07DF"/>
    <w:rsid w:val="00AF0902"/>
    <w:rsid w:val="00AF1193"/>
    <w:rsid w:val="00B02B73"/>
    <w:rsid w:val="00B04FBE"/>
    <w:rsid w:val="00B269FE"/>
    <w:rsid w:val="00B36E5F"/>
    <w:rsid w:val="00B466F5"/>
    <w:rsid w:val="00B878D8"/>
    <w:rsid w:val="00B91812"/>
    <w:rsid w:val="00B9383F"/>
    <w:rsid w:val="00B95FA5"/>
    <w:rsid w:val="00BA3953"/>
    <w:rsid w:val="00BD0F58"/>
    <w:rsid w:val="00BF6B40"/>
    <w:rsid w:val="00C01E3B"/>
    <w:rsid w:val="00C14485"/>
    <w:rsid w:val="00C25DD2"/>
    <w:rsid w:val="00C36882"/>
    <w:rsid w:val="00C41498"/>
    <w:rsid w:val="00C5346C"/>
    <w:rsid w:val="00C663AA"/>
    <w:rsid w:val="00C74AC8"/>
    <w:rsid w:val="00C96CEE"/>
    <w:rsid w:val="00CC7D8D"/>
    <w:rsid w:val="00CE42E0"/>
    <w:rsid w:val="00CE49B8"/>
    <w:rsid w:val="00CE67CD"/>
    <w:rsid w:val="00CE6A13"/>
    <w:rsid w:val="00CF672F"/>
    <w:rsid w:val="00D22C88"/>
    <w:rsid w:val="00D56DC5"/>
    <w:rsid w:val="00D748A7"/>
    <w:rsid w:val="00D96D55"/>
    <w:rsid w:val="00DB046E"/>
    <w:rsid w:val="00DB1B1A"/>
    <w:rsid w:val="00DC6643"/>
    <w:rsid w:val="00DF0965"/>
    <w:rsid w:val="00E079BE"/>
    <w:rsid w:val="00E32884"/>
    <w:rsid w:val="00E41B78"/>
    <w:rsid w:val="00E71273"/>
    <w:rsid w:val="00E81CF0"/>
    <w:rsid w:val="00E87A33"/>
    <w:rsid w:val="00E90FA1"/>
    <w:rsid w:val="00E95185"/>
    <w:rsid w:val="00E975F7"/>
    <w:rsid w:val="00EA6088"/>
    <w:rsid w:val="00EC01D0"/>
    <w:rsid w:val="00EC5490"/>
    <w:rsid w:val="00EE4D7E"/>
    <w:rsid w:val="00EF291F"/>
    <w:rsid w:val="00F0127B"/>
    <w:rsid w:val="00F06760"/>
    <w:rsid w:val="00F37FA9"/>
    <w:rsid w:val="00F45810"/>
    <w:rsid w:val="00F720BF"/>
    <w:rsid w:val="00F740F2"/>
    <w:rsid w:val="00F74E0A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1391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D053B0"/>
    <w:pPr>
      <w:outlineLvl w:val="1"/>
    </w:pPr>
    <w:rPr>
      <w:rFonts w:ascii="Georgia" w:eastAsia="Times New Roman" w:hAnsi="Georgia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65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651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6A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EDB"/>
    <w:pPr>
      <w:ind w:left="720"/>
    </w:pPr>
  </w:style>
  <w:style w:type="character" w:customStyle="1" w:styleId="Heading2Char">
    <w:name w:val="Heading 2 Char"/>
    <w:link w:val="Heading2"/>
    <w:uiPriority w:val="9"/>
    <w:rsid w:val="00D053B0"/>
    <w:rPr>
      <w:rFonts w:ascii="Georgia" w:eastAsia="Times New Roman" w:hAnsi="Georgia"/>
      <w:sz w:val="36"/>
      <w:szCs w:val="36"/>
    </w:rPr>
  </w:style>
  <w:style w:type="character" w:styleId="Hyperlink">
    <w:name w:val="Hyperlink"/>
    <w:uiPriority w:val="99"/>
    <w:unhideWhenUsed/>
    <w:rsid w:val="00D053B0"/>
    <w:rPr>
      <w:strike w:val="0"/>
      <w:dstrike w:val="0"/>
      <w:color w:val="0081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053B0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please-login">
    <w:name w:val="please-login"/>
    <w:basedOn w:val="Normal"/>
    <w:rsid w:val="00D053B0"/>
    <w:pPr>
      <w:spacing w:before="384" w:after="384"/>
    </w:pPr>
    <w:rPr>
      <w:rFonts w:eastAsia="Times New Roman"/>
      <w:color w:val="808080"/>
      <w:lang w:eastAsia="en-US"/>
    </w:rPr>
  </w:style>
  <w:style w:type="character" w:customStyle="1" w:styleId="courseofferingtitle">
    <w:name w:val="course_offering_title"/>
    <w:basedOn w:val="DefaultParagraphFont"/>
    <w:rsid w:val="00D053B0"/>
  </w:style>
  <w:style w:type="character" w:customStyle="1" w:styleId="instructor3">
    <w:name w:val="instructor3"/>
    <w:rsid w:val="00D053B0"/>
    <w:rPr>
      <w:cap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8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Real Estate Investment</vt:lpstr>
    </vt:vector>
  </TitlesOfParts>
  <Company/>
  <LinksUpToDate>false</LinksUpToDate>
  <CharactersWithSpaces>8406</CharactersWithSpaces>
  <SharedDoc>false</SharedDoc>
  <HLinks>
    <vt:vector size="6" baseType="variant">
      <vt:variant>
        <vt:i4>4325403</vt:i4>
      </vt:variant>
      <vt:variant>
        <vt:i4>7876</vt:i4>
      </vt:variant>
      <vt:variant>
        <vt:i4>1025</vt:i4>
      </vt:variant>
      <vt:variant>
        <vt:i4>1</vt:i4>
      </vt:variant>
      <vt:variant>
        <vt:lpwstr>CBS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Real Estate Investment</dc:title>
  <dc:subject/>
  <dc:creator>Camille Douglas</dc:creator>
  <cp:keywords/>
  <dc:description/>
  <cp:lastModifiedBy>Michael Giliberto</cp:lastModifiedBy>
  <cp:revision>8</cp:revision>
  <cp:lastPrinted>2019-06-09T12:48:00Z</cp:lastPrinted>
  <dcterms:created xsi:type="dcterms:W3CDTF">2021-06-16T15:46:00Z</dcterms:created>
  <dcterms:modified xsi:type="dcterms:W3CDTF">2021-06-21T13:19:00Z</dcterms:modified>
</cp:coreProperties>
</file>