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9F98" w14:textId="77777777" w:rsidR="00934BFC" w:rsidRDefault="00934BFC" w:rsidP="00934BFC"/>
    <w:p w14:paraId="290F4C02" w14:textId="77777777" w:rsidR="00934BFC" w:rsidRDefault="00934BFC" w:rsidP="00934BFC">
      <w:pPr>
        <w:sectPr w:rsidR="00934BFC" w:rsidSect="00535F4E">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docGrid w:linePitch="360"/>
        </w:sectPr>
      </w:pPr>
    </w:p>
    <w:p w14:paraId="4AE3AEA2" w14:textId="77777777" w:rsidR="003C0BD6" w:rsidRDefault="005769AC" w:rsidP="00535F4E">
      <w:pPr>
        <w:jc w:val="center"/>
        <w:rPr>
          <w:b/>
          <w:sz w:val="28"/>
          <w:szCs w:val="28"/>
        </w:rPr>
      </w:pPr>
      <w:r>
        <w:rPr>
          <w:b/>
          <w:sz w:val="28"/>
          <w:szCs w:val="28"/>
        </w:rPr>
        <w:t>Transforming the Delivery of Healthcare Services</w:t>
      </w:r>
    </w:p>
    <w:p w14:paraId="1BAF68C0" w14:textId="77777777" w:rsidR="003C0BD6" w:rsidRDefault="003C0BD6" w:rsidP="00535F4E">
      <w:pPr>
        <w:jc w:val="center"/>
        <w:rPr>
          <w:b/>
          <w:sz w:val="28"/>
          <w:szCs w:val="28"/>
        </w:rPr>
      </w:pPr>
      <w:r>
        <w:rPr>
          <w:b/>
          <w:sz w:val="28"/>
          <w:szCs w:val="28"/>
        </w:rPr>
        <w:t>B8118</w:t>
      </w:r>
    </w:p>
    <w:p w14:paraId="335256CE" w14:textId="5D71AF56" w:rsidR="00934BFC" w:rsidRDefault="00875070" w:rsidP="00A277BA">
      <w:pPr>
        <w:jc w:val="center"/>
      </w:pPr>
      <w:r>
        <w:rPr>
          <w:b/>
          <w:sz w:val="28"/>
          <w:szCs w:val="28"/>
        </w:rPr>
        <w:t>FALL 201</w:t>
      </w:r>
      <w:r w:rsidR="00130A15">
        <w:rPr>
          <w:noProof/>
        </w:rPr>
        <mc:AlternateContent>
          <mc:Choice Requires="wps">
            <w:drawing>
              <wp:anchor distT="4294967295" distB="4294967295" distL="114300" distR="114300" simplePos="0" relativeHeight="251659264" behindDoc="0" locked="0" layoutInCell="1" allowOverlap="1" wp14:anchorId="63B2D3B8" wp14:editId="5E7119E6">
                <wp:simplePos x="0" y="0"/>
                <wp:positionH relativeFrom="column">
                  <wp:posOffset>-1000125</wp:posOffset>
                </wp:positionH>
                <wp:positionV relativeFrom="paragraph">
                  <wp:posOffset>121919</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E6A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r w:rsidR="00890C3F">
        <w:rPr>
          <w:b/>
          <w:sz w:val="28"/>
          <w:szCs w:val="28"/>
        </w:rPr>
        <w:t>9</w:t>
      </w:r>
      <w:bookmarkStart w:id="0" w:name="_GoBack"/>
      <w:bookmarkEnd w:id="0"/>
    </w:p>
    <w:p w14:paraId="78D8FA7E" w14:textId="77777777" w:rsidR="00934BFC" w:rsidRPr="00934BFC" w:rsidRDefault="00934BFC" w:rsidP="00934BFC">
      <w:pPr>
        <w:rPr>
          <w:b/>
        </w:rPr>
      </w:pPr>
      <w:r w:rsidRPr="00934BFC">
        <w:rPr>
          <w:b/>
        </w:rPr>
        <w:t>REQUIRED COURSE MATERIAL</w:t>
      </w:r>
    </w:p>
    <w:p w14:paraId="370EB5ED" w14:textId="77777777" w:rsidR="00934BFC" w:rsidRDefault="00A277BA" w:rsidP="00934BFC">
      <w:r>
        <w:t>See assigned readings in Canvas</w:t>
      </w:r>
    </w:p>
    <w:p w14:paraId="4A660C34" w14:textId="77777777" w:rsidR="001B59CD" w:rsidRDefault="001B59CD" w:rsidP="00934BFC"/>
    <w:p w14:paraId="47EF0F31" w14:textId="77777777" w:rsidR="001B59CD" w:rsidRPr="00934BFC" w:rsidRDefault="001B59CD" w:rsidP="001B59CD">
      <w:pPr>
        <w:rPr>
          <w:b/>
        </w:rPr>
      </w:pPr>
      <w:r w:rsidRPr="00934BFC">
        <w:rPr>
          <w:b/>
        </w:rPr>
        <w:t>REQUIRED PREREQUISITES AND CONNECTION TO THE CORE</w:t>
      </w:r>
    </w:p>
    <w:p w14:paraId="39269EA5" w14:textId="77777777" w:rsidR="001B59CD" w:rsidRDefault="001B59CD" w:rsidP="001B59CD">
      <w:pPr>
        <w:rPr>
          <w:sz w:val="24"/>
          <w:szCs w:val="24"/>
        </w:rPr>
      </w:pPr>
      <w:r w:rsidRPr="008A0FDF">
        <w:rPr>
          <w:sz w:val="24"/>
          <w:szCs w:val="24"/>
        </w:rPr>
        <w:t xml:space="preserve">The </w:t>
      </w:r>
      <w:r>
        <w:rPr>
          <w:sz w:val="24"/>
          <w:szCs w:val="24"/>
        </w:rPr>
        <w:t xml:space="preserve">learning in </w:t>
      </w:r>
      <w:r w:rsidRPr="008A0FDF">
        <w:rPr>
          <w:sz w:val="24"/>
          <w:szCs w:val="24"/>
        </w:rPr>
        <w:t>this course</w:t>
      </w:r>
      <w:r>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1B59CD" w:rsidRPr="00654649" w14:paraId="017EF099" w14:textId="77777777" w:rsidTr="00F803CD">
        <w:trPr>
          <w:trHeight w:val="755"/>
        </w:trPr>
        <w:tc>
          <w:tcPr>
            <w:tcW w:w="2898" w:type="dxa"/>
          </w:tcPr>
          <w:p w14:paraId="19A10399" w14:textId="77777777" w:rsidR="001B59CD" w:rsidRDefault="001B59CD" w:rsidP="00F803CD">
            <w:pPr>
              <w:rPr>
                <w:b/>
              </w:rPr>
            </w:pPr>
            <w:r>
              <w:rPr>
                <w:b/>
              </w:rPr>
              <w:t>Core Course</w:t>
            </w:r>
          </w:p>
          <w:p w14:paraId="5113CE63" w14:textId="77777777" w:rsidR="001B59CD" w:rsidRDefault="001B59CD" w:rsidP="00F803CD">
            <w:pPr>
              <w:rPr>
                <w:b/>
              </w:rPr>
            </w:pPr>
          </w:p>
          <w:p w14:paraId="7FE18294" w14:textId="77777777" w:rsidR="001B59CD" w:rsidRPr="00EB4E24" w:rsidRDefault="001B59CD" w:rsidP="00F803CD">
            <w:r>
              <w:t>Strategy Formulation</w:t>
            </w:r>
          </w:p>
          <w:p w14:paraId="095B6713" w14:textId="77777777" w:rsidR="001B59CD" w:rsidRPr="00654649" w:rsidRDefault="001B59CD" w:rsidP="00F803CD">
            <w:pPr>
              <w:rPr>
                <w:b/>
              </w:rPr>
            </w:pPr>
          </w:p>
        </w:tc>
        <w:tc>
          <w:tcPr>
            <w:tcW w:w="6678" w:type="dxa"/>
          </w:tcPr>
          <w:p w14:paraId="128DE865" w14:textId="77777777" w:rsidR="001B59CD" w:rsidRDefault="001B59CD" w:rsidP="00F803CD">
            <w:pPr>
              <w:rPr>
                <w:b/>
              </w:rPr>
            </w:pPr>
            <w:r>
              <w:rPr>
                <w:b/>
              </w:rPr>
              <w:t>Connection with Core</w:t>
            </w:r>
          </w:p>
          <w:p w14:paraId="69192FC6" w14:textId="77777777" w:rsidR="001B59CD" w:rsidRDefault="001B59CD" w:rsidP="00F803CD">
            <w:pPr>
              <w:rPr>
                <w:b/>
              </w:rPr>
            </w:pPr>
          </w:p>
          <w:p w14:paraId="064AAAE8" w14:textId="77777777" w:rsidR="001B59CD" w:rsidRDefault="001B59CD" w:rsidP="00F803CD">
            <w:r>
              <w:t>1.    Competitive analysis</w:t>
            </w:r>
          </w:p>
          <w:p w14:paraId="798B2FF0" w14:textId="77777777" w:rsidR="001B59CD" w:rsidRDefault="001B59CD" w:rsidP="00F803CD">
            <w:r>
              <w:t>2.    Strategic differentiation</w:t>
            </w:r>
          </w:p>
          <w:p w14:paraId="6BBB0A16" w14:textId="77777777" w:rsidR="001B59CD" w:rsidRPr="00EB4E24" w:rsidRDefault="001B59CD" w:rsidP="00F803CD">
            <w:pPr>
              <w:pStyle w:val="ListParagraph"/>
            </w:pPr>
          </w:p>
        </w:tc>
      </w:tr>
      <w:tr w:rsidR="001B59CD" w14:paraId="788C18D4" w14:textId="77777777" w:rsidTr="00F803CD">
        <w:tc>
          <w:tcPr>
            <w:tcW w:w="2898" w:type="dxa"/>
          </w:tcPr>
          <w:p w14:paraId="7DE0C1C5" w14:textId="77777777" w:rsidR="001B59CD" w:rsidRDefault="001B59CD" w:rsidP="00F803CD">
            <w:r>
              <w:t>Leadership</w:t>
            </w:r>
          </w:p>
        </w:tc>
        <w:tc>
          <w:tcPr>
            <w:tcW w:w="6678" w:type="dxa"/>
          </w:tcPr>
          <w:p w14:paraId="32769882" w14:textId="77777777" w:rsidR="001B59CD" w:rsidRDefault="001B59CD" w:rsidP="00F803CD">
            <w:pPr>
              <w:pStyle w:val="ListParagraph"/>
              <w:numPr>
                <w:ilvl w:val="0"/>
                <w:numId w:val="1"/>
              </w:numPr>
            </w:pPr>
            <w:r>
              <w:t>Influence &amp; persuasion</w:t>
            </w:r>
          </w:p>
          <w:p w14:paraId="0AC56E80" w14:textId="77777777" w:rsidR="001B59CD" w:rsidRDefault="001B59CD" w:rsidP="00F803CD">
            <w:pPr>
              <w:pStyle w:val="ListParagraph"/>
              <w:numPr>
                <w:ilvl w:val="0"/>
                <w:numId w:val="1"/>
              </w:numPr>
            </w:pPr>
            <w:r>
              <w:t>Teams</w:t>
            </w:r>
          </w:p>
          <w:p w14:paraId="532CCB9D" w14:textId="77777777" w:rsidR="001B59CD" w:rsidRDefault="001B59CD" w:rsidP="00F803CD"/>
        </w:tc>
      </w:tr>
      <w:tr w:rsidR="001B59CD" w14:paraId="687E5FE3" w14:textId="77777777" w:rsidTr="00F803CD">
        <w:tc>
          <w:tcPr>
            <w:tcW w:w="2898" w:type="dxa"/>
          </w:tcPr>
          <w:p w14:paraId="31A17234" w14:textId="77777777" w:rsidR="001B59CD" w:rsidRDefault="001B59CD" w:rsidP="00F803CD">
            <w:r>
              <w:t>Managerial Economics</w:t>
            </w:r>
          </w:p>
        </w:tc>
        <w:tc>
          <w:tcPr>
            <w:tcW w:w="6678" w:type="dxa"/>
          </w:tcPr>
          <w:p w14:paraId="19A71207" w14:textId="77777777" w:rsidR="001B59CD" w:rsidRDefault="001B59CD" w:rsidP="00F803CD">
            <w:pPr>
              <w:pStyle w:val="ListParagraph"/>
              <w:numPr>
                <w:ilvl w:val="0"/>
                <w:numId w:val="2"/>
              </w:numPr>
            </w:pPr>
            <w:r>
              <w:t>Pricing with market power</w:t>
            </w:r>
          </w:p>
          <w:p w14:paraId="396B67EA" w14:textId="77777777" w:rsidR="001B59CD" w:rsidRDefault="001B59CD" w:rsidP="00F803CD">
            <w:pPr>
              <w:pStyle w:val="ListParagraph"/>
              <w:numPr>
                <w:ilvl w:val="0"/>
                <w:numId w:val="2"/>
              </w:numPr>
            </w:pPr>
            <w:r>
              <w:t>Barriers to entry</w:t>
            </w:r>
          </w:p>
        </w:tc>
      </w:tr>
      <w:tr w:rsidR="001B59CD" w14:paraId="3961D05D" w14:textId="77777777" w:rsidTr="00F803CD">
        <w:tc>
          <w:tcPr>
            <w:tcW w:w="2898" w:type="dxa"/>
          </w:tcPr>
          <w:p w14:paraId="5331662C" w14:textId="77777777" w:rsidR="001B59CD" w:rsidRDefault="001B59CD" w:rsidP="00F803CD">
            <w:r>
              <w:t>Statistics</w:t>
            </w:r>
          </w:p>
        </w:tc>
        <w:tc>
          <w:tcPr>
            <w:tcW w:w="6678" w:type="dxa"/>
          </w:tcPr>
          <w:p w14:paraId="2929969A" w14:textId="77777777" w:rsidR="001B59CD" w:rsidRDefault="001B59CD" w:rsidP="00F803CD">
            <w:pPr>
              <w:pStyle w:val="ListParagraph"/>
              <w:numPr>
                <w:ilvl w:val="0"/>
                <w:numId w:val="3"/>
              </w:numPr>
            </w:pPr>
            <w:r>
              <w:t>Variability</w:t>
            </w:r>
          </w:p>
          <w:p w14:paraId="3B836C02" w14:textId="77777777" w:rsidR="001B59CD" w:rsidRDefault="001B59CD" w:rsidP="00F803CD">
            <w:pPr>
              <w:pStyle w:val="ListParagraph"/>
              <w:numPr>
                <w:ilvl w:val="0"/>
                <w:numId w:val="3"/>
              </w:numPr>
            </w:pPr>
            <w:r>
              <w:t>Linear regression</w:t>
            </w:r>
          </w:p>
          <w:p w14:paraId="3BD36F4E" w14:textId="77777777" w:rsidR="001B59CD" w:rsidRDefault="001B59CD" w:rsidP="00F803CD">
            <w:pPr>
              <w:pStyle w:val="ListParagraph"/>
              <w:ind w:left="360"/>
            </w:pPr>
          </w:p>
        </w:tc>
      </w:tr>
      <w:tr w:rsidR="001B59CD" w14:paraId="5FECDF14" w14:textId="77777777" w:rsidTr="00F803CD">
        <w:tc>
          <w:tcPr>
            <w:tcW w:w="2898" w:type="dxa"/>
          </w:tcPr>
          <w:p w14:paraId="78834F22" w14:textId="77777777" w:rsidR="001B59CD" w:rsidRDefault="001B59CD" w:rsidP="00F803CD">
            <w:r>
              <w:t>Operations Management</w:t>
            </w:r>
          </w:p>
        </w:tc>
        <w:tc>
          <w:tcPr>
            <w:tcW w:w="6678" w:type="dxa"/>
          </w:tcPr>
          <w:p w14:paraId="607FB2E7" w14:textId="77777777" w:rsidR="001B59CD" w:rsidRDefault="001B59CD" w:rsidP="00F803CD">
            <w:pPr>
              <w:pStyle w:val="ListParagraph"/>
              <w:numPr>
                <w:ilvl w:val="0"/>
                <w:numId w:val="4"/>
              </w:numPr>
            </w:pPr>
            <w:r>
              <w:t>Alignment of business strategy and processes</w:t>
            </w:r>
          </w:p>
          <w:p w14:paraId="1DFF22F5" w14:textId="77777777" w:rsidR="001B59CD" w:rsidRDefault="001B59CD" w:rsidP="00F803CD">
            <w:pPr>
              <w:pStyle w:val="ListParagraph"/>
              <w:numPr>
                <w:ilvl w:val="0"/>
                <w:numId w:val="4"/>
              </w:numPr>
            </w:pPr>
            <w:r>
              <w:t>Managing quality</w:t>
            </w:r>
          </w:p>
        </w:tc>
      </w:tr>
    </w:tbl>
    <w:p w14:paraId="1D36E672" w14:textId="77777777" w:rsidR="001B59CD" w:rsidRDefault="001B59CD" w:rsidP="001B59CD"/>
    <w:p w14:paraId="5E3377A2" w14:textId="77777777" w:rsidR="001B59CD" w:rsidRPr="001527FA" w:rsidRDefault="00A277BA" w:rsidP="001B59CD">
      <w:r w:rsidRPr="00A277BA">
        <w:rPr>
          <w:b/>
          <w:u w:val="single"/>
        </w:rPr>
        <w:t>I</w:t>
      </w:r>
      <w:r w:rsidR="001B59CD" w:rsidRPr="00A277BA">
        <w:rPr>
          <w:b/>
          <w:u w:val="single"/>
        </w:rPr>
        <w:t>mportant note</w:t>
      </w:r>
      <w:r>
        <w:rPr>
          <w:b/>
          <w:u w:val="single"/>
        </w:rPr>
        <w:t>:</w:t>
      </w:r>
      <w:r w:rsidR="001B59CD">
        <w:t xml:space="preserve"> </w:t>
      </w:r>
      <w:r>
        <w:t>S</w:t>
      </w:r>
      <w:r w:rsidR="001B59CD" w:rsidRPr="001527FA">
        <w:t xml:space="preserve">tudents </w:t>
      </w:r>
      <w:r w:rsidR="001B59CD" w:rsidRPr="001B59CD">
        <w:rPr>
          <w:b/>
          <w:u w:val="single"/>
        </w:rPr>
        <w:t>must</w:t>
      </w:r>
      <w:r w:rsidR="001B59CD" w:rsidRPr="001527FA">
        <w:t xml:space="preserve"> have a good working knowledge of the U.S. healthcare delivery system including:</w:t>
      </w:r>
    </w:p>
    <w:p w14:paraId="778161FB" w14:textId="77777777" w:rsidR="001B59CD" w:rsidRPr="001527FA" w:rsidRDefault="001B59CD" w:rsidP="001B59CD">
      <w:pPr>
        <w:pStyle w:val="ListParagraph"/>
        <w:numPr>
          <w:ilvl w:val="0"/>
          <w:numId w:val="7"/>
        </w:numPr>
        <w:spacing w:after="0" w:line="240" w:lineRule="auto"/>
        <w:contextualSpacing w:val="0"/>
      </w:pPr>
      <w:r w:rsidRPr="001527FA">
        <w:t>the structure, organization and financing of hospitals and health systems</w:t>
      </w:r>
    </w:p>
    <w:p w14:paraId="3998DC1C" w14:textId="77777777" w:rsidR="001B59CD" w:rsidRPr="001527FA" w:rsidRDefault="001B59CD" w:rsidP="001B59CD">
      <w:pPr>
        <w:pStyle w:val="ListParagraph"/>
        <w:numPr>
          <w:ilvl w:val="0"/>
          <w:numId w:val="7"/>
        </w:numPr>
        <w:spacing w:after="0" w:line="240" w:lineRule="auto"/>
        <w:contextualSpacing w:val="0"/>
      </w:pPr>
      <w:r w:rsidRPr="001527FA">
        <w:t xml:space="preserve">physician practice patterns and compensation systems </w:t>
      </w:r>
    </w:p>
    <w:p w14:paraId="3840F6D0" w14:textId="77777777" w:rsidR="001B59CD" w:rsidRPr="001527FA" w:rsidRDefault="001B59CD" w:rsidP="001B59CD">
      <w:pPr>
        <w:pStyle w:val="ListParagraph"/>
        <w:numPr>
          <w:ilvl w:val="0"/>
          <w:numId w:val="7"/>
        </w:numPr>
        <w:spacing w:after="0" w:line="240" w:lineRule="auto"/>
        <w:contextualSpacing w:val="0"/>
      </w:pPr>
      <w:r w:rsidRPr="001527FA">
        <w:t>public and private payment systems including FFS, DRGs, RBVs, and capitation</w:t>
      </w:r>
    </w:p>
    <w:p w14:paraId="2F495ED5" w14:textId="77777777" w:rsidR="001B59CD" w:rsidRPr="001527FA" w:rsidRDefault="001B59CD" w:rsidP="001B59CD">
      <w:pPr>
        <w:pStyle w:val="ListParagraph"/>
        <w:numPr>
          <w:ilvl w:val="0"/>
          <w:numId w:val="7"/>
        </w:numPr>
        <w:spacing w:after="0" w:line="240" w:lineRule="auto"/>
        <w:contextualSpacing w:val="0"/>
      </w:pPr>
      <w:r w:rsidRPr="001527FA">
        <w:t>the Medicare and Medicaid systems including Medicare managed care</w:t>
      </w:r>
    </w:p>
    <w:p w14:paraId="2CC7DFFB" w14:textId="77777777" w:rsidR="001B59CD" w:rsidRPr="001527FA" w:rsidRDefault="001B59CD" w:rsidP="001B59CD">
      <w:pPr>
        <w:pStyle w:val="ListParagraph"/>
        <w:numPr>
          <w:ilvl w:val="0"/>
          <w:numId w:val="7"/>
        </w:numPr>
        <w:spacing w:after="0" w:line="240" w:lineRule="auto"/>
        <w:contextualSpacing w:val="0"/>
      </w:pPr>
      <w:r w:rsidRPr="001527FA">
        <w:t>insurance companies and types of health plans including PPOs, POS, HMOs, high deductible health plans, etc.</w:t>
      </w:r>
    </w:p>
    <w:p w14:paraId="0AE8686B" w14:textId="77777777" w:rsidR="001B59CD" w:rsidRPr="001527FA" w:rsidRDefault="001B59CD" w:rsidP="001B59CD">
      <w:pPr>
        <w:pStyle w:val="ListParagraph"/>
        <w:numPr>
          <w:ilvl w:val="0"/>
          <w:numId w:val="7"/>
        </w:numPr>
        <w:rPr>
          <w:rFonts w:cs="Arial"/>
          <w:color w:val="000000"/>
          <w:u w:val="single"/>
        </w:rPr>
      </w:pPr>
      <w:r w:rsidRPr="001527FA">
        <w:t>the role of employers in healthcare including the difference between fully insured and self-funded organizations</w:t>
      </w:r>
    </w:p>
    <w:p w14:paraId="10FA883F" w14:textId="77777777" w:rsidR="001B59CD" w:rsidRDefault="001B59CD" w:rsidP="001B59CD"/>
    <w:p w14:paraId="76499547" w14:textId="77777777" w:rsidR="001B59CD" w:rsidRDefault="001B59CD" w:rsidP="00934BFC"/>
    <w:p w14:paraId="7FF0AE10" w14:textId="77777777" w:rsidR="00934BFC" w:rsidRDefault="00934BFC" w:rsidP="00934BFC">
      <w:pPr>
        <w:rPr>
          <w:b/>
        </w:rPr>
      </w:pPr>
      <w:r>
        <w:rPr>
          <w:b/>
        </w:rPr>
        <w:lastRenderedPageBreak/>
        <w:t>COURSE DESCRIPTION</w:t>
      </w:r>
    </w:p>
    <w:p w14:paraId="4F52A3F5" w14:textId="63E2FE92" w:rsidR="005769AC" w:rsidRPr="001527FA" w:rsidRDefault="005769AC" w:rsidP="005769AC">
      <w:pPr>
        <w:rPr>
          <w:rFonts w:cs="Arial"/>
          <w:color w:val="000000"/>
        </w:rPr>
      </w:pPr>
      <w:r w:rsidRPr="001527FA">
        <w:rPr>
          <w:rFonts w:cs="Arial"/>
          <w:color w:val="000000"/>
        </w:rPr>
        <w:t xml:space="preserve">This course provides an advanced, critical analysis of the delivery and payment of healthcare services in the U.S. with a specific focus on actions innovative healthcare providers and health insurers are taking to improve the quality of patient care, manage the escalating costs of providing such care, and enhance business performance. It will analyze the attractiveness and feasibility of new approaches to address the challenges facing providers, payers and patients operating in an inefficient, misaligned, and fragmented healthcare system. </w:t>
      </w:r>
      <w:proofErr w:type="gramStart"/>
      <w:r w:rsidRPr="001527FA">
        <w:rPr>
          <w:rFonts w:cs="Arial"/>
          <w:color w:val="000000"/>
        </w:rPr>
        <w:t>Particular focus</w:t>
      </w:r>
      <w:proofErr w:type="gramEnd"/>
      <w:r w:rsidRPr="001527FA">
        <w:rPr>
          <w:rFonts w:cs="Arial"/>
          <w:color w:val="000000"/>
        </w:rPr>
        <w:t xml:space="preserve"> will be given to the impact of the 2009 HITECH Act </w:t>
      </w:r>
      <w:r w:rsidR="001B59CD">
        <w:rPr>
          <w:rFonts w:cs="Arial"/>
          <w:color w:val="000000"/>
        </w:rPr>
        <w:t xml:space="preserve">and </w:t>
      </w:r>
      <w:r w:rsidRPr="001527FA">
        <w:rPr>
          <w:rFonts w:cs="Arial"/>
          <w:color w:val="000000"/>
        </w:rPr>
        <w:t>the Affordable Care Act (ACA) of 2010</w:t>
      </w:r>
      <w:r w:rsidR="00A277BA">
        <w:rPr>
          <w:rFonts w:cs="Arial"/>
          <w:color w:val="000000"/>
        </w:rPr>
        <w:t xml:space="preserve"> as well as the </w:t>
      </w:r>
      <w:r w:rsidR="003C53F5">
        <w:rPr>
          <w:rFonts w:cs="Arial"/>
          <w:color w:val="000000"/>
        </w:rPr>
        <w:t>e</w:t>
      </w:r>
      <w:r w:rsidR="00A277BA">
        <w:rPr>
          <w:rFonts w:cs="Arial"/>
          <w:color w:val="000000"/>
        </w:rPr>
        <w:t>ffect of changes to the ACA</w:t>
      </w:r>
      <w:r w:rsidRPr="001527FA">
        <w:rPr>
          <w:rFonts w:cs="Arial"/>
          <w:color w:val="000000"/>
        </w:rPr>
        <w:t xml:space="preserve">. There will be guest lectures by a variety of major leaders in healthcare business and policy. The course will be useful for students interested in careers in health system management, health insurance, HCIT, healthcare consulting &amp; banking, private equity, investment management, health policy, entrepreneurship in the healthcare services sector and pharmaceuticals, medical devices &amp; diagnostics. </w:t>
      </w:r>
    </w:p>
    <w:p w14:paraId="3068C97E" w14:textId="77777777" w:rsidR="001B59CD" w:rsidRDefault="001B59CD" w:rsidP="005769AC">
      <w:pPr>
        <w:jc w:val="both"/>
        <w:rPr>
          <w:b/>
        </w:rPr>
      </w:pPr>
    </w:p>
    <w:p w14:paraId="3F06B84C" w14:textId="77777777" w:rsidR="005769AC" w:rsidRPr="005769AC" w:rsidRDefault="005769AC" w:rsidP="005769AC">
      <w:pPr>
        <w:jc w:val="both"/>
        <w:rPr>
          <w:b/>
        </w:rPr>
      </w:pPr>
      <w:r w:rsidRPr="005769AC">
        <w:rPr>
          <w:b/>
        </w:rPr>
        <w:t>COURSE LEARNING OBJECTIVES</w:t>
      </w:r>
    </w:p>
    <w:p w14:paraId="7FD9070F" w14:textId="77777777" w:rsidR="005769AC" w:rsidRPr="00E35D85" w:rsidRDefault="005769AC" w:rsidP="005769AC">
      <w:pPr>
        <w:jc w:val="both"/>
        <w:rPr>
          <w:rFonts w:ascii="Garamond" w:hAnsi="Garamond"/>
          <w:sz w:val="24"/>
          <w:szCs w:val="24"/>
        </w:rPr>
      </w:pPr>
      <w:r w:rsidRPr="00E35D85">
        <w:rPr>
          <w:rFonts w:ascii="Garamond" w:hAnsi="Garamond"/>
          <w:sz w:val="24"/>
          <w:szCs w:val="24"/>
        </w:rPr>
        <w:t xml:space="preserve">Students who </w:t>
      </w:r>
      <w:r>
        <w:rPr>
          <w:rFonts w:ascii="Garamond" w:hAnsi="Garamond"/>
          <w:sz w:val="24"/>
          <w:szCs w:val="24"/>
        </w:rPr>
        <w:t xml:space="preserve">successfully </w:t>
      </w:r>
      <w:r w:rsidRPr="00E35D85">
        <w:rPr>
          <w:rFonts w:ascii="Garamond" w:hAnsi="Garamond"/>
          <w:sz w:val="24"/>
          <w:szCs w:val="24"/>
        </w:rPr>
        <w:t>complete this course will be able to:</w:t>
      </w:r>
    </w:p>
    <w:p w14:paraId="43F0C748" w14:textId="12938803" w:rsidR="005769AC" w:rsidRPr="001527FA" w:rsidRDefault="005769AC" w:rsidP="005769AC">
      <w:pPr>
        <w:numPr>
          <w:ilvl w:val="0"/>
          <w:numId w:val="6"/>
        </w:numPr>
        <w:spacing w:after="0" w:line="240" w:lineRule="auto"/>
        <w:rPr>
          <w:rFonts w:cs="Xerox Serif Wide"/>
        </w:rPr>
      </w:pPr>
      <w:r w:rsidRPr="001527FA">
        <w:t xml:space="preserve">Understand how recent healthcare legislation </w:t>
      </w:r>
      <w:r w:rsidR="00A73823">
        <w:t xml:space="preserve">and the current political environment </w:t>
      </w:r>
      <w:r w:rsidR="00B4346D">
        <w:t>have affect</w:t>
      </w:r>
      <w:r w:rsidR="00890C3F">
        <w:t>ed</w:t>
      </w:r>
      <w:r w:rsidR="00B4346D">
        <w:t xml:space="preserve"> and </w:t>
      </w:r>
      <w:r w:rsidR="00A73823">
        <w:t>are affecting</w:t>
      </w:r>
      <w:r w:rsidRPr="001527FA">
        <w:t xml:space="preserve"> payers and providers.</w:t>
      </w:r>
    </w:p>
    <w:p w14:paraId="0719E050" w14:textId="77777777" w:rsidR="005769AC" w:rsidRPr="001527FA" w:rsidRDefault="00A73823" w:rsidP="005769AC">
      <w:pPr>
        <w:numPr>
          <w:ilvl w:val="0"/>
          <w:numId w:val="6"/>
        </w:numPr>
        <w:spacing w:after="0" w:line="240" w:lineRule="auto"/>
        <w:rPr>
          <w:rFonts w:cs="Xerox Serif Wide"/>
        </w:rPr>
      </w:pPr>
      <w:r>
        <w:t>Assess ne</w:t>
      </w:r>
      <w:r w:rsidR="005769AC" w:rsidRPr="001527FA">
        <w:t xml:space="preserve">w strategies to </w:t>
      </w:r>
      <w:r w:rsidR="00DB66D1" w:rsidRPr="001527FA">
        <w:t xml:space="preserve">improve </w:t>
      </w:r>
      <w:r w:rsidR="005769AC" w:rsidRPr="001527FA">
        <w:t xml:space="preserve">quality and control costs, through </w:t>
      </w:r>
      <w:r w:rsidR="004A423F">
        <w:t xml:space="preserve">emerging </w:t>
      </w:r>
      <w:r w:rsidR="005769AC" w:rsidRPr="001527FA">
        <w:t>payment</w:t>
      </w:r>
      <w:r w:rsidR="00DB66D1" w:rsidRPr="001527FA">
        <w:t xml:space="preserve"> and delivery</w:t>
      </w:r>
      <w:r w:rsidR="005769AC" w:rsidRPr="001527FA">
        <w:t xml:space="preserve"> methods.</w:t>
      </w:r>
    </w:p>
    <w:p w14:paraId="06BF17A9" w14:textId="49470235" w:rsidR="005769AC" w:rsidRPr="001527FA" w:rsidRDefault="00DB66D1" w:rsidP="005769AC">
      <w:pPr>
        <w:numPr>
          <w:ilvl w:val="0"/>
          <w:numId w:val="6"/>
        </w:numPr>
        <w:spacing w:after="0" w:line="240" w:lineRule="auto"/>
        <w:rPr>
          <w:rFonts w:cs="Xerox Serif Wide"/>
        </w:rPr>
      </w:pPr>
      <w:r w:rsidRPr="001527FA">
        <w:t xml:space="preserve">Understand the motivation for </w:t>
      </w:r>
      <w:r w:rsidR="005769AC" w:rsidRPr="001527FA">
        <w:t>and challenges associated with</w:t>
      </w:r>
      <w:r w:rsidR="00B4346D">
        <w:t xml:space="preserve"> new </w:t>
      </w:r>
      <w:r w:rsidR="004A423F">
        <w:t>consolidation</w:t>
      </w:r>
      <w:r w:rsidR="00B4346D">
        <w:t>, acquisition, and partnership</w:t>
      </w:r>
      <w:r w:rsidR="004A423F">
        <w:t xml:space="preserve"> strategies</w:t>
      </w:r>
      <w:r w:rsidR="00B4346D">
        <w:t xml:space="preserve">. </w:t>
      </w:r>
    </w:p>
    <w:p w14:paraId="6BFB6384" w14:textId="77777777" w:rsidR="00DB66D1" w:rsidRPr="001527FA" w:rsidRDefault="00A73823" w:rsidP="005769AC">
      <w:pPr>
        <w:numPr>
          <w:ilvl w:val="0"/>
          <w:numId w:val="6"/>
        </w:numPr>
        <w:spacing w:after="0" w:line="240" w:lineRule="auto"/>
        <w:rPr>
          <w:rFonts w:cs="Xerox Serif Wide"/>
        </w:rPr>
      </w:pPr>
      <w:r>
        <w:t>Examine how</w:t>
      </w:r>
      <w:r w:rsidR="005769AC" w:rsidRPr="001527FA">
        <w:t xml:space="preserve"> the changing role</w:t>
      </w:r>
      <w:r w:rsidR="00A277BA">
        <w:t>s</w:t>
      </w:r>
      <w:r w:rsidR="005769AC" w:rsidRPr="001527FA">
        <w:t xml:space="preserve"> of physicians</w:t>
      </w:r>
      <w:r w:rsidR="00A277BA">
        <w:t>,</w:t>
      </w:r>
      <w:r w:rsidR="00DB66D1" w:rsidRPr="001527FA">
        <w:t xml:space="preserve"> other medical professionals</w:t>
      </w:r>
      <w:r>
        <w:t>,</w:t>
      </w:r>
      <w:r w:rsidR="00A277BA">
        <w:t xml:space="preserve"> and non-medical </w:t>
      </w:r>
      <w:r>
        <w:t>health workers, as well as the adoption</w:t>
      </w:r>
      <w:r w:rsidR="005769AC" w:rsidRPr="001527FA">
        <w:t xml:space="preserve"> of </w:t>
      </w:r>
      <w:r w:rsidR="00DB66D1" w:rsidRPr="001527FA">
        <w:t>new technologies</w:t>
      </w:r>
      <w:r>
        <w:t>, are contributing to greater efficiency and effectiveness</w:t>
      </w:r>
      <w:r w:rsidR="00DB66D1" w:rsidRPr="001527FA">
        <w:t>.</w:t>
      </w:r>
    </w:p>
    <w:p w14:paraId="2625B6D7" w14:textId="389516A6" w:rsidR="005769AC" w:rsidRPr="00F920F6" w:rsidRDefault="00DB66D1" w:rsidP="005769AC">
      <w:pPr>
        <w:numPr>
          <w:ilvl w:val="0"/>
          <w:numId w:val="6"/>
        </w:numPr>
        <w:spacing w:after="0" w:line="240" w:lineRule="auto"/>
        <w:rPr>
          <w:rFonts w:cs="Xerox Serif Wide"/>
        </w:rPr>
      </w:pPr>
      <w:r w:rsidRPr="001527FA">
        <w:t xml:space="preserve">Understand the </w:t>
      </w:r>
      <w:r w:rsidR="00B4346D">
        <w:t xml:space="preserve">capabilities </w:t>
      </w:r>
      <w:r w:rsidRPr="001527FA">
        <w:t xml:space="preserve">for succeeding </w:t>
      </w:r>
      <w:r w:rsidR="005769AC" w:rsidRPr="001527FA">
        <w:t xml:space="preserve">in </w:t>
      </w:r>
      <w:r w:rsidRPr="001527FA">
        <w:t xml:space="preserve">the </w:t>
      </w:r>
      <w:r w:rsidR="00B4346D">
        <w:t xml:space="preserve">rapidly evolving </w:t>
      </w:r>
      <w:r w:rsidR="005769AC" w:rsidRPr="001527FA">
        <w:t>healthcare environment.</w:t>
      </w:r>
    </w:p>
    <w:p w14:paraId="0FE42190" w14:textId="77777777" w:rsidR="00F920F6" w:rsidRDefault="00F920F6" w:rsidP="00F920F6">
      <w:pPr>
        <w:spacing w:after="0" w:line="240" w:lineRule="auto"/>
      </w:pPr>
    </w:p>
    <w:p w14:paraId="3DE8416B" w14:textId="77777777" w:rsidR="00F920F6" w:rsidRPr="0036771E" w:rsidRDefault="00F920F6" w:rsidP="00F920F6">
      <w:pPr>
        <w:rPr>
          <w:b/>
        </w:rPr>
      </w:pPr>
      <w:r w:rsidRPr="0036771E">
        <w:rPr>
          <w:b/>
        </w:rPr>
        <w:t>ASSIGNMENTS</w:t>
      </w:r>
    </w:p>
    <w:p w14:paraId="122270E1" w14:textId="4A92B7B2" w:rsidR="00F920F6" w:rsidRPr="0036771E" w:rsidRDefault="00F920F6" w:rsidP="00F920F6">
      <w:pPr>
        <w:pStyle w:val="NormalWeb"/>
        <w:tabs>
          <w:tab w:val="left" w:pos="9360"/>
        </w:tabs>
        <w:spacing w:before="0" w:beforeAutospacing="0" w:after="0" w:afterAutospacing="0"/>
        <w:ind w:right="360"/>
        <w:rPr>
          <w:rFonts w:asciiTheme="minorHAnsi" w:hAnsiTheme="minorHAnsi" w:cs="Arial"/>
          <w:color w:val="000000"/>
          <w:sz w:val="22"/>
          <w:szCs w:val="22"/>
        </w:rPr>
      </w:pPr>
      <w:r w:rsidRPr="0036771E">
        <w:rPr>
          <w:rFonts w:asciiTheme="minorHAnsi" w:hAnsiTheme="minorHAnsi" w:cs="Arial"/>
          <w:color w:val="000000"/>
          <w:sz w:val="22"/>
          <w:szCs w:val="22"/>
        </w:rPr>
        <w:t xml:space="preserve">You will be expected to submit </w:t>
      </w:r>
      <w:r>
        <w:rPr>
          <w:rFonts w:asciiTheme="minorHAnsi" w:hAnsiTheme="minorHAnsi" w:cs="Arial"/>
          <w:color w:val="000000"/>
          <w:sz w:val="22"/>
          <w:szCs w:val="22"/>
        </w:rPr>
        <w:t xml:space="preserve">four </w:t>
      </w:r>
      <w:r w:rsidRPr="0036771E">
        <w:rPr>
          <w:rFonts w:asciiTheme="minorHAnsi" w:hAnsiTheme="minorHAnsi" w:cs="Arial"/>
          <w:color w:val="000000"/>
          <w:sz w:val="22"/>
          <w:szCs w:val="22"/>
        </w:rPr>
        <w:t xml:space="preserve">written assignments. Each is due before class and will form the basis of much of the class discussion. Even if you do not submit a written assignment, you will be expected to have read the </w:t>
      </w:r>
      <w:r>
        <w:rPr>
          <w:rFonts w:asciiTheme="minorHAnsi" w:hAnsiTheme="minorHAnsi" w:cs="Arial"/>
          <w:color w:val="000000"/>
          <w:sz w:val="22"/>
          <w:szCs w:val="22"/>
        </w:rPr>
        <w:t>assigned material and be able to discuss it</w:t>
      </w:r>
      <w:r w:rsidRPr="0036771E">
        <w:rPr>
          <w:rFonts w:asciiTheme="minorHAnsi" w:hAnsiTheme="minorHAnsi" w:cs="Arial"/>
          <w:color w:val="000000"/>
          <w:sz w:val="22"/>
          <w:szCs w:val="22"/>
        </w:rPr>
        <w:t xml:space="preserve">. </w:t>
      </w:r>
      <w:r w:rsidRPr="00E70373">
        <w:rPr>
          <w:rFonts w:asciiTheme="minorHAnsi" w:hAnsiTheme="minorHAnsi" w:cs="Arial"/>
          <w:b/>
          <w:color w:val="000000"/>
          <w:sz w:val="22"/>
          <w:szCs w:val="22"/>
          <w:u w:val="single"/>
        </w:rPr>
        <w:t>Late assignments will not be accepted</w:t>
      </w:r>
      <w:r w:rsidRPr="0036771E">
        <w:rPr>
          <w:rFonts w:asciiTheme="minorHAnsi" w:hAnsiTheme="minorHAnsi" w:cs="Arial"/>
          <w:color w:val="000000"/>
          <w:sz w:val="22"/>
          <w:szCs w:val="22"/>
        </w:rPr>
        <w:t xml:space="preserve"> unless there is an exceptional circumstance. Under the business school designation, these assignments are Type B. You may discuss the </w:t>
      </w:r>
      <w:r>
        <w:rPr>
          <w:rFonts w:asciiTheme="minorHAnsi" w:hAnsiTheme="minorHAnsi" w:cs="Arial"/>
          <w:color w:val="000000"/>
          <w:sz w:val="22"/>
          <w:szCs w:val="22"/>
        </w:rPr>
        <w:t xml:space="preserve">assignments </w:t>
      </w:r>
      <w:r w:rsidRPr="0036771E">
        <w:rPr>
          <w:rFonts w:asciiTheme="minorHAnsi" w:hAnsiTheme="minorHAnsi" w:cs="Arial"/>
          <w:color w:val="000000"/>
          <w:sz w:val="22"/>
          <w:szCs w:val="22"/>
        </w:rPr>
        <w:t xml:space="preserve">in groups, but you must hand in your own individually written report. Grades will be assigned on an individual basis and the grade will be out of a maximum of 10 points. The reports will address specific questions that </w:t>
      </w:r>
      <w:r w:rsidR="00872FD0">
        <w:rPr>
          <w:rFonts w:asciiTheme="minorHAnsi" w:hAnsiTheme="minorHAnsi" w:cs="Arial"/>
          <w:color w:val="000000"/>
          <w:sz w:val="22"/>
          <w:szCs w:val="22"/>
        </w:rPr>
        <w:t xml:space="preserve"> </w:t>
      </w:r>
      <w:r w:rsidRPr="0036771E">
        <w:rPr>
          <w:rFonts w:asciiTheme="minorHAnsi" w:hAnsiTheme="minorHAnsi" w:cs="Arial"/>
          <w:color w:val="000000"/>
          <w:sz w:val="22"/>
          <w:szCs w:val="22"/>
        </w:rPr>
        <w:t xml:space="preserve">will </w:t>
      </w:r>
      <w:r w:rsidR="00872FD0">
        <w:rPr>
          <w:rFonts w:asciiTheme="minorHAnsi" w:hAnsiTheme="minorHAnsi" w:cs="Arial"/>
          <w:color w:val="000000"/>
          <w:sz w:val="22"/>
          <w:szCs w:val="22"/>
        </w:rPr>
        <w:t>be available on Canvas</w:t>
      </w:r>
      <w:r w:rsidRPr="0036771E">
        <w:rPr>
          <w:rFonts w:asciiTheme="minorHAnsi" w:hAnsiTheme="minorHAnsi" w:cs="Arial"/>
          <w:color w:val="000000"/>
          <w:sz w:val="22"/>
          <w:szCs w:val="22"/>
        </w:rPr>
        <w:t xml:space="preserve"> and should be </w:t>
      </w:r>
      <w:r w:rsidRPr="0036771E">
        <w:rPr>
          <w:rFonts w:asciiTheme="minorHAnsi" w:hAnsiTheme="minorHAnsi" w:cs="Arial"/>
          <w:color w:val="000000"/>
          <w:sz w:val="22"/>
          <w:szCs w:val="22"/>
          <w:u w:val="single"/>
        </w:rPr>
        <w:t xml:space="preserve">no more than </w:t>
      </w:r>
      <w:r>
        <w:rPr>
          <w:rFonts w:asciiTheme="minorHAnsi" w:hAnsiTheme="minorHAnsi" w:cs="Arial"/>
          <w:color w:val="000000"/>
          <w:sz w:val="22"/>
          <w:szCs w:val="22"/>
          <w:u w:val="single"/>
        </w:rPr>
        <w:t>1</w:t>
      </w:r>
      <w:r w:rsidRPr="0036771E">
        <w:rPr>
          <w:rFonts w:asciiTheme="minorHAnsi" w:hAnsiTheme="minorHAnsi" w:cs="Arial"/>
          <w:color w:val="000000"/>
          <w:sz w:val="22"/>
          <w:szCs w:val="22"/>
          <w:u w:val="single"/>
        </w:rPr>
        <w:t xml:space="preserve"> page</w:t>
      </w:r>
      <w:r w:rsidRPr="0036771E">
        <w:rPr>
          <w:rFonts w:asciiTheme="minorHAnsi" w:hAnsiTheme="minorHAnsi" w:cs="Arial"/>
          <w:color w:val="000000"/>
          <w:sz w:val="22"/>
          <w:szCs w:val="22"/>
        </w:rPr>
        <w:t xml:space="preserve">. You can expect </w:t>
      </w:r>
      <w:r w:rsidRPr="0036771E">
        <w:rPr>
          <w:rFonts w:asciiTheme="minorHAnsi" w:hAnsiTheme="minorHAnsi" w:cs="Arial"/>
          <w:color w:val="000000"/>
          <w:sz w:val="22"/>
          <w:szCs w:val="22"/>
          <w:u w:val="single"/>
        </w:rPr>
        <w:t>cold calling</w:t>
      </w:r>
      <w:r w:rsidRPr="0036771E">
        <w:rPr>
          <w:rFonts w:asciiTheme="minorHAnsi" w:hAnsiTheme="minorHAnsi" w:cs="Arial"/>
          <w:color w:val="000000"/>
          <w:sz w:val="22"/>
          <w:szCs w:val="22"/>
        </w:rPr>
        <w:t xml:space="preserve"> will be used for these </w:t>
      </w:r>
      <w:r>
        <w:rPr>
          <w:rFonts w:asciiTheme="minorHAnsi" w:hAnsiTheme="minorHAnsi" w:cs="Arial"/>
          <w:color w:val="000000"/>
          <w:sz w:val="22"/>
          <w:szCs w:val="22"/>
        </w:rPr>
        <w:t>assignment</w:t>
      </w:r>
      <w:r w:rsidRPr="0036771E">
        <w:rPr>
          <w:rFonts w:asciiTheme="minorHAnsi" w:hAnsiTheme="minorHAnsi" w:cs="Arial"/>
          <w:color w:val="000000"/>
          <w:sz w:val="22"/>
          <w:szCs w:val="22"/>
        </w:rPr>
        <w:t>s and responses will count towards your class participation grade.</w:t>
      </w:r>
    </w:p>
    <w:p w14:paraId="4E511465" w14:textId="77777777" w:rsidR="00F920F6" w:rsidRPr="0036771E" w:rsidRDefault="00F920F6" w:rsidP="00F920F6">
      <w:pPr>
        <w:pStyle w:val="NormalWeb"/>
        <w:tabs>
          <w:tab w:val="left" w:pos="9360"/>
        </w:tabs>
        <w:spacing w:before="0" w:beforeAutospacing="0" w:after="0" w:afterAutospacing="0"/>
        <w:ind w:right="360"/>
        <w:rPr>
          <w:rFonts w:asciiTheme="minorHAnsi" w:hAnsiTheme="minorHAnsi" w:cs="Arial"/>
          <w:color w:val="000000"/>
          <w:sz w:val="22"/>
          <w:szCs w:val="22"/>
        </w:rPr>
      </w:pPr>
    </w:p>
    <w:p w14:paraId="17884A6C" w14:textId="77777777" w:rsidR="00F920F6" w:rsidRPr="001527FA" w:rsidRDefault="00F920F6" w:rsidP="00F920F6">
      <w:pPr>
        <w:spacing w:after="0" w:line="240" w:lineRule="auto"/>
        <w:rPr>
          <w:rFonts w:cs="Xerox Serif Wide"/>
        </w:rPr>
      </w:pPr>
    </w:p>
    <w:p w14:paraId="629BE201" w14:textId="77777777" w:rsidR="00567325" w:rsidRPr="00567325" w:rsidRDefault="00567325" w:rsidP="00567325">
      <w:pPr>
        <w:ind w:right="540"/>
      </w:pPr>
      <w:bookmarkStart w:id="1" w:name="methodsandmaterials"/>
      <w:r w:rsidRPr="00567325">
        <w:rPr>
          <w:rFonts w:cs="Arial"/>
          <w:b/>
          <w:bCs/>
          <w:color w:val="000000"/>
        </w:rPr>
        <w:t>M</w:t>
      </w:r>
      <w:r>
        <w:rPr>
          <w:rFonts w:cs="Arial"/>
          <w:b/>
          <w:bCs/>
          <w:color w:val="000000"/>
        </w:rPr>
        <w:t>ETHODS AND MATERIALS</w:t>
      </w:r>
      <w:bookmarkEnd w:id="1"/>
    </w:p>
    <w:p w14:paraId="113A393A" w14:textId="77777777" w:rsidR="00F920F6" w:rsidRDefault="00567325" w:rsidP="00567325">
      <w:pPr>
        <w:pStyle w:val="NormalWeb"/>
        <w:spacing w:before="0" w:beforeAutospacing="0" w:after="0" w:afterAutospacing="0"/>
        <w:ind w:right="540"/>
        <w:rPr>
          <w:rFonts w:asciiTheme="minorHAnsi" w:hAnsiTheme="minorHAnsi" w:cs="Arial"/>
          <w:color w:val="000000"/>
          <w:sz w:val="22"/>
          <w:szCs w:val="22"/>
        </w:rPr>
      </w:pPr>
      <w:r w:rsidRPr="001527FA">
        <w:rPr>
          <w:rFonts w:asciiTheme="minorHAnsi" w:hAnsiTheme="minorHAnsi" w:cs="Arial"/>
          <w:color w:val="000000"/>
          <w:sz w:val="22"/>
          <w:szCs w:val="22"/>
        </w:rPr>
        <w:t xml:space="preserve">All readings and cases are </w:t>
      </w:r>
      <w:r w:rsidR="00A73823">
        <w:rPr>
          <w:rFonts w:asciiTheme="minorHAnsi" w:hAnsiTheme="minorHAnsi" w:cs="Arial"/>
          <w:color w:val="000000"/>
          <w:sz w:val="22"/>
          <w:szCs w:val="22"/>
        </w:rPr>
        <w:t>available via links in Canvas</w:t>
      </w:r>
      <w:r w:rsidRPr="001527FA">
        <w:rPr>
          <w:rFonts w:asciiTheme="minorHAnsi" w:hAnsiTheme="minorHAnsi" w:cs="Arial"/>
          <w:color w:val="000000"/>
          <w:sz w:val="22"/>
          <w:szCs w:val="22"/>
        </w:rPr>
        <w:t xml:space="preserve">. </w:t>
      </w:r>
      <w:r w:rsidR="00F920F6" w:rsidRPr="0036771E">
        <w:rPr>
          <w:rFonts w:asciiTheme="minorHAnsi" w:hAnsiTheme="minorHAnsi" w:cs="Arial"/>
          <w:color w:val="000000"/>
          <w:sz w:val="22"/>
          <w:szCs w:val="22"/>
        </w:rPr>
        <w:t xml:space="preserve">Some readings are meant as reference material and others are listed as </w:t>
      </w:r>
      <w:r w:rsidR="00F920F6" w:rsidRPr="0036771E">
        <w:rPr>
          <w:rFonts w:asciiTheme="minorHAnsi" w:hAnsiTheme="minorHAnsi" w:cs="Arial"/>
          <w:color w:val="000000"/>
          <w:sz w:val="22"/>
          <w:szCs w:val="22"/>
          <w:u w:val="single"/>
        </w:rPr>
        <w:t>“assignments”</w:t>
      </w:r>
      <w:r w:rsidR="00F920F6" w:rsidRPr="0036771E">
        <w:rPr>
          <w:rFonts w:asciiTheme="minorHAnsi" w:hAnsiTheme="minorHAnsi" w:cs="Arial"/>
          <w:color w:val="000000"/>
          <w:sz w:val="22"/>
          <w:szCs w:val="22"/>
        </w:rPr>
        <w:t xml:space="preserve"> </w:t>
      </w:r>
      <w:r w:rsidR="00F920F6">
        <w:rPr>
          <w:rFonts w:asciiTheme="minorHAnsi" w:hAnsiTheme="minorHAnsi" w:cs="Arial"/>
          <w:color w:val="000000"/>
          <w:sz w:val="22"/>
          <w:szCs w:val="22"/>
        </w:rPr>
        <w:t>see above.</w:t>
      </w:r>
      <w:r w:rsidRPr="001527FA">
        <w:rPr>
          <w:rFonts w:asciiTheme="minorHAnsi" w:hAnsiTheme="minorHAnsi" w:cs="Arial"/>
          <w:color w:val="000000"/>
          <w:sz w:val="22"/>
          <w:szCs w:val="22"/>
        </w:rPr>
        <w:t xml:space="preserve"> Additional readings and assignments will be </w:t>
      </w:r>
      <w:r w:rsidR="008B28FE" w:rsidRPr="001527FA">
        <w:rPr>
          <w:rFonts w:asciiTheme="minorHAnsi" w:hAnsiTheme="minorHAnsi" w:cs="Arial"/>
          <w:color w:val="000000"/>
          <w:sz w:val="22"/>
          <w:szCs w:val="22"/>
        </w:rPr>
        <w:t xml:space="preserve">posted on Canvas </w:t>
      </w:r>
      <w:r w:rsidRPr="001527FA">
        <w:rPr>
          <w:rFonts w:asciiTheme="minorHAnsi" w:hAnsiTheme="minorHAnsi" w:cs="Arial"/>
          <w:color w:val="000000"/>
          <w:sz w:val="22"/>
          <w:szCs w:val="22"/>
        </w:rPr>
        <w:t xml:space="preserve">as needed. </w:t>
      </w:r>
    </w:p>
    <w:p w14:paraId="01B21907" w14:textId="77777777" w:rsidR="00F920F6" w:rsidRDefault="00F920F6" w:rsidP="00567325">
      <w:pPr>
        <w:pStyle w:val="NormalWeb"/>
        <w:spacing w:before="0" w:beforeAutospacing="0" w:after="0" w:afterAutospacing="0"/>
        <w:ind w:right="540"/>
        <w:rPr>
          <w:rFonts w:asciiTheme="minorHAnsi" w:hAnsiTheme="minorHAnsi" w:cs="Arial"/>
          <w:color w:val="000000"/>
          <w:sz w:val="22"/>
          <w:szCs w:val="22"/>
        </w:rPr>
      </w:pPr>
    </w:p>
    <w:p w14:paraId="2876C270" w14:textId="11C18C67" w:rsidR="00F920F6" w:rsidRDefault="00F318B8" w:rsidP="00F920F6">
      <w:pPr>
        <w:rPr>
          <w:b/>
        </w:rPr>
      </w:pPr>
      <w:r w:rsidRPr="001527FA">
        <w:rPr>
          <w:rFonts w:cs="Arial"/>
          <w:color w:val="000000"/>
        </w:rPr>
        <w:t xml:space="preserve">The course involves a mixture of lectures, class discussions, case analyses and presentations by prominent guest speakers. The workload consists of class participation, </w:t>
      </w:r>
      <w:r w:rsidR="001B59CD">
        <w:rPr>
          <w:rFonts w:cs="Arial"/>
          <w:color w:val="000000"/>
        </w:rPr>
        <w:t xml:space="preserve">written </w:t>
      </w:r>
      <w:r w:rsidRPr="001527FA">
        <w:rPr>
          <w:rFonts w:cs="Arial"/>
          <w:color w:val="000000"/>
        </w:rPr>
        <w:t>assignment</w:t>
      </w:r>
      <w:r w:rsidR="001B59CD">
        <w:rPr>
          <w:rFonts w:cs="Arial"/>
          <w:color w:val="000000"/>
        </w:rPr>
        <w:t>s</w:t>
      </w:r>
      <w:r w:rsidRPr="001527FA">
        <w:rPr>
          <w:rFonts w:cs="Arial"/>
          <w:color w:val="000000"/>
        </w:rPr>
        <w:t xml:space="preserve">, and a take-home final exam. </w:t>
      </w:r>
    </w:p>
    <w:p w14:paraId="6F0E1290" w14:textId="77777777" w:rsidR="005769AC" w:rsidRPr="001527FA" w:rsidRDefault="005769AC" w:rsidP="00567325">
      <w:pPr>
        <w:pStyle w:val="NormalWeb"/>
        <w:spacing w:before="0" w:beforeAutospacing="0" w:after="0" w:afterAutospacing="0"/>
        <w:ind w:right="540"/>
        <w:rPr>
          <w:rFonts w:asciiTheme="minorHAnsi" w:hAnsiTheme="minorHAnsi" w:cs="Arial"/>
          <w:color w:val="000000"/>
          <w:sz w:val="22"/>
          <w:szCs w:val="22"/>
        </w:rPr>
      </w:pPr>
    </w:p>
    <w:p w14:paraId="09EB00EC" w14:textId="77777777" w:rsidR="00F920F6" w:rsidRDefault="00F920F6" w:rsidP="00F318B8">
      <w:pPr>
        <w:pStyle w:val="NormalWeb"/>
        <w:spacing w:before="0" w:beforeAutospacing="0" w:after="0" w:afterAutospacing="0"/>
        <w:ind w:right="540"/>
        <w:rPr>
          <w:rFonts w:asciiTheme="minorHAnsi" w:hAnsiTheme="minorHAnsi" w:cs="Arial"/>
          <w:b/>
          <w:color w:val="000000"/>
          <w:sz w:val="22"/>
          <w:szCs w:val="22"/>
        </w:rPr>
      </w:pPr>
      <w:r>
        <w:rPr>
          <w:rFonts w:asciiTheme="minorHAnsi" w:hAnsiTheme="minorHAnsi" w:cs="Arial"/>
          <w:b/>
          <w:color w:val="000000"/>
          <w:sz w:val="22"/>
          <w:szCs w:val="22"/>
        </w:rPr>
        <w:t>CLASS PARTICIPATION</w:t>
      </w:r>
    </w:p>
    <w:p w14:paraId="178F12B6" w14:textId="77777777" w:rsidR="00F920F6" w:rsidRDefault="00F920F6" w:rsidP="00F318B8">
      <w:pPr>
        <w:pStyle w:val="NormalWeb"/>
        <w:spacing w:before="0" w:beforeAutospacing="0" w:after="0" w:afterAutospacing="0"/>
        <w:ind w:right="540"/>
        <w:rPr>
          <w:rFonts w:asciiTheme="minorHAnsi" w:hAnsiTheme="minorHAnsi" w:cs="Arial"/>
          <w:b/>
          <w:color w:val="000000"/>
          <w:sz w:val="22"/>
          <w:szCs w:val="22"/>
        </w:rPr>
      </w:pPr>
    </w:p>
    <w:p w14:paraId="66CD93B3" w14:textId="77777777"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r w:rsidRPr="00F920F6">
        <w:rPr>
          <w:rFonts w:asciiTheme="minorHAnsi" w:hAnsiTheme="minorHAnsi" w:cs="Arial"/>
          <w:color w:val="000000"/>
          <w:sz w:val="22"/>
          <w:szCs w:val="22"/>
        </w:rPr>
        <w:t>Class participation</w:t>
      </w:r>
      <w:r w:rsidRPr="001527FA">
        <w:rPr>
          <w:rFonts w:asciiTheme="minorHAnsi" w:hAnsiTheme="minorHAnsi" w:cs="Arial"/>
          <w:color w:val="000000"/>
          <w:sz w:val="22"/>
          <w:szCs w:val="22"/>
        </w:rPr>
        <w:t xml:space="preserve"> will be based on attendance using a sign-in sheet, as well as the extent and quality of contributions to class discussions. For those not as comfortable with speaking out in class, you can also contribute by sending relevant newspaper or other articles and/or communicating ideas and thoughts with the class using Canvas. </w:t>
      </w:r>
    </w:p>
    <w:p w14:paraId="77A83415" w14:textId="77777777"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p>
    <w:p w14:paraId="0AE305B7" w14:textId="77777777" w:rsidR="00F920F6" w:rsidRDefault="00F920F6" w:rsidP="00F920F6">
      <w:pPr>
        <w:rPr>
          <w:b/>
        </w:rPr>
      </w:pPr>
      <w:r>
        <w:rPr>
          <w:b/>
        </w:rPr>
        <w:t>GRADING</w:t>
      </w:r>
    </w:p>
    <w:p w14:paraId="425EE92A" w14:textId="77777777" w:rsidR="00F318B8" w:rsidRPr="001527FA" w:rsidRDefault="00F318B8" w:rsidP="00F318B8">
      <w:pPr>
        <w:pStyle w:val="NormalWeb"/>
        <w:spacing w:before="0" w:beforeAutospacing="0" w:after="0" w:afterAutospacing="0"/>
        <w:ind w:right="540"/>
        <w:rPr>
          <w:rFonts w:asciiTheme="minorHAnsi" w:hAnsiTheme="minorHAnsi"/>
          <w:sz w:val="22"/>
          <w:szCs w:val="22"/>
        </w:rPr>
      </w:pPr>
      <w:r w:rsidRPr="001527FA">
        <w:rPr>
          <w:rFonts w:asciiTheme="minorHAnsi" w:hAnsiTheme="minorHAnsi" w:cs="Arial"/>
          <w:color w:val="000000"/>
          <w:sz w:val="22"/>
          <w:szCs w:val="22"/>
        </w:rPr>
        <w:t>Course grading will be based on the following evaluation weights:</w:t>
      </w:r>
    </w:p>
    <w:p w14:paraId="4E23C620" w14:textId="77777777" w:rsidR="002B6140" w:rsidRDefault="002B6140" w:rsidP="00567325">
      <w:pPr>
        <w:pStyle w:val="NormalWeb"/>
        <w:spacing w:before="0" w:beforeAutospacing="0" w:after="0" w:afterAutospacing="0"/>
        <w:ind w:right="540"/>
        <w:rPr>
          <w:rFonts w:ascii="Century Gothic" w:hAnsi="Century Gothic" w:cs="Arial"/>
          <w:color w:val="000000"/>
          <w:sz w:val="20"/>
          <w:szCs w:val="20"/>
        </w:rPr>
      </w:pPr>
    </w:p>
    <w:tbl>
      <w:tblPr>
        <w:tblStyle w:val="TableGrid"/>
        <w:tblW w:w="0" w:type="auto"/>
        <w:tblLook w:val="04A0" w:firstRow="1" w:lastRow="0" w:firstColumn="1" w:lastColumn="0" w:noHBand="0" w:noVBand="1"/>
      </w:tblPr>
      <w:tblGrid>
        <w:gridCol w:w="2718"/>
        <w:gridCol w:w="1260"/>
      </w:tblGrid>
      <w:tr w:rsidR="00535F4E" w14:paraId="62921B57" w14:textId="77777777" w:rsidTr="00A731F3">
        <w:tc>
          <w:tcPr>
            <w:tcW w:w="2718" w:type="dxa"/>
          </w:tcPr>
          <w:p w14:paraId="4D74999C" w14:textId="77777777" w:rsidR="00535F4E" w:rsidRDefault="00A46929" w:rsidP="00A731F3">
            <w:r>
              <w:t>P</w:t>
            </w:r>
            <w:r w:rsidR="00535F4E">
              <w:t>articipation</w:t>
            </w:r>
          </w:p>
        </w:tc>
        <w:tc>
          <w:tcPr>
            <w:tcW w:w="1260" w:type="dxa"/>
          </w:tcPr>
          <w:p w14:paraId="0D35C34D" w14:textId="77777777" w:rsidR="00535F4E" w:rsidRDefault="00114ABC" w:rsidP="00130A15">
            <w:r>
              <w:t>20</w:t>
            </w:r>
            <w:r w:rsidR="00535F4E">
              <w:t>%</w:t>
            </w:r>
          </w:p>
        </w:tc>
      </w:tr>
      <w:tr w:rsidR="00535F4E" w14:paraId="51374C80" w14:textId="77777777" w:rsidTr="00A731F3">
        <w:tc>
          <w:tcPr>
            <w:tcW w:w="2718" w:type="dxa"/>
          </w:tcPr>
          <w:p w14:paraId="1A2FC58E" w14:textId="77777777" w:rsidR="00535F4E" w:rsidRDefault="00375E78" w:rsidP="00114ABC">
            <w:r>
              <w:t>Assignment</w:t>
            </w:r>
            <w:r w:rsidR="001B59CD">
              <w:t>s</w:t>
            </w:r>
          </w:p>
        </w:tc>
        <w:tc>
          <w:tcPr>
            <w:tcW w:w="1260" w:type="dxa"/>
          </w:tcPr>
          <w:p w14:paraId="35BA901C" w14:textId="77777777" w:rsidR="00535F4E" w:rsidRDefault="003F616E" w:rsidP="00A731F3">
            <w:r>
              <w:t>4</w:t>
            </w:r>
            <w:r w:rsidR="008B28FE">
              <w:t>0</w:t>
            </w:r>
            <w:r w:rsidR="00535F4E">
              <w:t>%</w:t>
            </w:r>
          </w:p>
        </w:tc>
      </w:tr>
      <w:tr w:rsidR="00535F4E" w14:paraId="7BE885AF" w14:textId="77777777" w:rsidTr="00A731F3">
        <w:tc>
          <w:tcPr>
            <w:tcW w:w="2718" w:type="dxa"/>
          </w:tcPr>
          <w:p w14:paraId="517EAB88" w14:textId="77777777" w:rsidR="00535F4E" w:rsidRDefault="005769AC" w:rsidP="00A731F3">
            <w:r>
              <w:t xml:space="preserve">Take-home </w:t>
            </w:r>
            <w:r w:rsidR="00375E78">
              <w:t>Final Exam</w:t>
            </w:r>
          </w:p>
        </w:tc>
        <w:tc>
          <w:tcPr>
            <w:tcW w:w="1260" w:type="dxa"/>
          </w:tcPr>
          <w:p w14:paraId="038762DE" w14:textId="77777777" w:rsidR="00535F4E" w:rsidRDefault="003F616E" w:rsidP="00130A15">
            <w:r>
              <w:t>4</w:t>
            </w:r>
            <w:r w:rsidR="00114ABC">
              <w:t>0</w:t>
            </w:r>
            <w:r w:rsidR="00375E78">
              <w:t>%</w:t>
            </w:r>
          </w:p>
        </w:tc>
      </w:tr>
    </w:tbl>
    <w:p w14:paraId="225D7CC4" w14:textId="77777777" w:rsidR="00375E78" w:rsidRDefault="00375E78">
      <w:pPr>
        <w:rPr>
          <w:b/>
        </w:rPr>
      </w:pPr>
    </w:p>
    <w:p w14:paraId="77883E25" w14:textId="77777777" w:rsidR="006C336F" w:rsidRPr="00EB27E6" w:rsidRDefault="00535F4E">
      <w:pPr>
        <w:rPr>
          <w:b/>
        </w:rPr>
      </w:pPr>
      <w:r w:rsidRPr="00EB27E6">
        <w:rPr>
          <w:b/>
        </w:rPr>
        <w:t>CLASSROOM NORMS AND EXPECTATIONS</w:t>
      </w:r>
    </w:p>
    <w:p w14:paraId="40C51491" w14:textId="77777777" w:rsidR="0063563F" w:rsidRPr="001527FA" w:rsidRDefault="0079439D" w:rsidP="008E2A9A">
      <w:pPr>
        <w:pStyle w:val="NoSpacing"/>
        <w:rPr>
          <w:b/>
        </w:rPr>
      </w:pPr>
      <w:r w:rsidRPr="001527FA">
        <w:t>L</w:t>
      </w:r>
      <w:r w:rsidR="00375E78" w:rsidRPr="001527FA">
        <w:t xml:space="preserve">ectures, guest speakers, and class discussions are the major vehicles for learning the material. Therefore, it is imperative that </w:t>
      </w:r>
      <w:r w:rsidR="00375E78" w:rsidRPr="00F920F6">
        <w:rPr>
          <w:b/>
        </w:rPr>
        <w:t>you attend all classes</w:t>
      </w:r>
      <w:r w:rsidRPr="00F920F6">
        <w:rPr>
          <w:b/>
        </w:rPr>
        <w:t>, arrive on time, and give speakers and your fellow classmates your full attention.</w:t>
      </w:r>
      <w:r w:rsidR="00C925C8" w:rsidRPr="001527FA">
        <w:t xml:space="preserve"> The course will touch upon controversial topics and it’s important for us all to listen to each other without being overly defensive or argumentative. </w:t>
      </w:r>
      <w:r w:rsidRPr="001527FA">
        <w:t xml:space="preserve"> If you cannot attend a specific class or </w:t>
      </w:r>
      <w:proofErr w:type="gramStart"/>
      <w:r w:rsidRPr="001527FA">
        <w:t>have to</w:t>
      </w:r>
      <w:proofErr w:type="gramEnd"/>
      <w:r w:rsidRPr="001527FA">
        <w:t xml:space="preserve"> arrive late or leave early, let </w:t>
      </w:r>
      <w:r w:rsidR="005769AC" w:rsidRPr="001527FA">
        <w:t xml:space="preserve">the instructors </w:t>
      </w:r>
      <w:r w:rsidRPr="001527FA">
        <w:t>know in</w:t>
      </w:r>
      <w:r w:rsidRPr="001527FA">
        <w:rPr>
          <w:u w:val="single"/>
        </w:rPr>
        <w:t xml:space="preserve"> </w:t>
      </w:r>
      <w:r w:rsidRPr="00F920F6">
        <w:rPr>
          <w:b/>
          <w:u w:val="single"/>
        </w:rPr>
        <w:t>advance</w:t>
      </w:r>
      <w:r w:rsidRPr="001527FA">
        <w:t xml:space="preserve"> by email.  Please refrain from using laptops, </w:t>
      </w:r>
      <w:proofErr w:type="spellStart"/>
      <w:r w:rsidRPr="001527FA">
        <w:t>IPads</w:t>
      </w:r>
      <w:proofErr w:type="spellEnd"/>
      <w:r w:rsidRPr="001527FA">
        <w:t>, cellphones, etc. in class. You will be given session guides for all classes and you can use these to take notes.</w:t>
      </w:r>
      <w:r w:rsidR="00C925C8" w:rsidRPr="001527FA">
        <w:t xml:space="preserve"> Session guides will also be posted on Canvas after each class. </w:t>
      </w:r>
    </w:p>
    <w:sectPr w:rsidR="0063563F" w:rsidRPr="001527FA"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DC76" w14:textId="77777777" w:rsidR="00093145" w:rsidRDefault="00093145" w:rsidP="00934BFC">
      <w:pPr>
        <w:spacing w:after="0" w:line="240" w:lineRule="auto"/>
      </w:pPr>
      <w:r>
        <w:separator/>
      </w:r>
    </w:p>
  </w:endnote>
  <w:endnote w:type="continuationSeparator" w:id="0">
    <w:p w14:paraId="7215BE4A" w14:textId="77777777" w:rsidR="00093145" w:rsidRDefault="0009314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Xerox Serif Wide">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6BEE" w14:textId="77777777" w:rsidR="003C0BD6" w:rsidRDefault="003C0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2F86" w14:textId="77777777" w:rsidR="00934BFC" w:rsidRDefault="00934BFC">
    <w:pPr>
      <w:pStyle w:val="Footer"/>
    </w:pPr>
    <w:r>
      <w:t xml:space="preserve">Page </w:t>
    </w:r>
    <w:r w:rsidR="00CF512F">
      <w:rPr>
        <w:b/>
      </w:rPr>
      <w:fldChar w:fldCharType="begin"/>
    </w:r>
    <w:r>
      <w:rPr>
        <w:b/>
      </w:rPr>
      <w:instrText xml:space="preserve"> PAGE  \* Arabic  \* MERGEFORMAT </w:instrText>
    </w:r>
    <w:r w:rsidR="00CF512F">
      <w:rPr>
        <w:b/>
      </w:rPr>
      <w:fldChar w:fldCharType="separate"/>
    </w:r>
    <w:r w:rsidR="001E49F1">
      <w:rPr>
        <w:b/>
        <w:noProof/>
      </w:rPr>
      <w:t>3</w:t>
    </w:r>
    <w:r w:rsidR="00CF512F">
      <w:rPr>
        <w:b/>
      </w:rPr>
      <w:fldChar w:fldCharType="end"/>
    </w:r>
    <w:r>
      <w:t xml:space="preserve"> of </w:t>
    </w:r>
    <w:r w:rsidR="007171CC">
      <w:rPr>
        <w:b/>
        <w:noProof/>
      </w:rPr>
      <w:fldChar w:fldCharType="begin"/>
    </w:r>
    <w:r w:rsidR="007171CC">
      <w:rPr>
        <w:b/>
        <w:noProof/>
      </w:rPr>
      <w:instrText xml:space="preserve"> NUMPAGES  \* Arabic  \* MERGEFORMAT </w:instrText>
    </w:r>
    <w:r w:rsidR="007171CC">
      <w:rPr>
        <w:b/>
        <w:noProof/>
      </w:rPr>
      <w:fldChar w:fldCharType="separate"/>
    </w:r>
    <w:r w:rsidR="001E49F1" w:rsidRPr="001E49F1">
      <w:rPr>
        <w:b/>
        <w:noProof/>
      </w:rPr>
      <w:t>3</w:t>
    </w:r>
    <w:r w:rsidR="007171CC">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63EF" w14:textId="77777777" w:rsidR="003C0BD6" w:rsidRDefault="003C0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7C0C" w14:textId="77777777" w:rsidR="00093145" w:rsidRDefault="00093145" w:rsidP="00934BFC">
      <w:pPr>
        <w:spacing w:after="0" w:line="240" w:lineRule="auto"/>
      </w:pPr>
      <w:r>
        <w:separator/>
      </w:r>
    </w:p>
  </w:footnote>
  <w:footnote w:type="continuationSeparator" w:id="0">
    <w:p w14:paraId="40E9EE8A" w14:textId="77777777" w:rsidR="00093145" w:rsidRDefault="00093145"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2496" w14:textId="77777777" w:rsidR="003C0BD6" w:rsidRDefault="003C0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D5F9"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69DFA4DB" wp14:editId="43C4615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CD36" w14:textId="77777777" w:rsidR="003C0BD6" w:rsidRDefault="003C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D7F69"/>
    <w:multiLevelType w:val="hybridMultilevel"/>
    <w:tmpl w:val="D9C604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5046439B"/>
    <w:multiLevelType w:val="hybridMultilevel"/>
    <w:tmpl w:val="CCC4F978"/>
    <w:lvl w:ilvl="0" w:tplc="3AC26EC8">
      <w:start w:val="1"/>
      <w:numFmt w:val="bullet"/>
      <w:lvlText w:val=""/>
      <w:lvlJc w:val="left"/>
      <w:pPr>
        <w:tabs>
          <w:tab w:val="num" w:pos="720"/>
        </w:tabs>
        <w:ind w:left="720" w:hanging="360"/>
      </w:pPr>
      <w:rPr>
        <w:rFonts w:ascii="Wingdings" w:hAnsi="Wingdings" w:hint="default"/>
      </w:rPr>
    </w:lvl>
    <w:lvl w:ilvl="1" w:tplc="5C0C909C" w:tentative="1">
      <w:start w:val="1"/>
      <w:numFmt w:val="bullet"/>
      <w:lvlText w:val=""/>
      <w:lvlJc w:val="left"/>
      <w:pPr>
        <w:tabs>
          <w:tab w:val="num" w:pos="1440"/>
        </w:tabs>
        <w:ind w:left="1440" w:hanging="360"/>
      </w:pPr>
      <w:rPr>
        <w:rFonts w:ascii="Wingdings" w:hAnsi="Wingdings" w:hint="default"/>
      </w:rPr>
    </w:lvl>
    <w:lvl w:ilvl="2" w:tplc="3B383A5C" w:tentative="1">
      <w:start w:val="1"/>
      <w:numFmt w:val="bullet"/>
      <w:lvlText w:val=""/>
      <w:lvlJc w:val="left"/>
      <w:pPr>
        <w:tabs>
          <w:tab w:val="num" w:pos="2160"/>
        </w:tabs>
        <w:ind w:left="2160" w:hanging="360"/>
      </w:pPr>
      <w:rPr>
        <w:rFonts w:ascii="Wingdings" w:hAnsi="Wingdings" w:hint="default"/>
      </w:rPr>
    </w:lvl>
    <w:lvl w:ilvl="3" w:tplc="66380868" w:tentative="1">
      <w:start w:val="1"/>
      <w:numFmt w:val="bullet"/>
      <w:lvlText w:val=""/>
      <w:lvlJc w:val="left"/>
      <w:pPr>
        <w:tabs>
          <w:tab w:val="num" w:pos="2880"/>
        </w:tabs>
        <w:ind w:left="2880" w:hanging="360"/>
      </w:pPr>
      <w:rPr>
        <w:rFonts w:ascii="Wingdings" w:hAnsi="Wingdings" w:hint="default"/>
      </w:rPr>
    </w:lvl>
    <w:lvl w:ilvl="4" w:tplc="DF24EA10" w:tentative="1">
      <w:start w:val="1"/>
      <w:numFmt w:val="bullet"/>
      <w:lvlText w:val=""/>
      <w:lvlJc w:val="left"/>
      <w:pPr>
        <w:tabs>
          <w:tab w:val="num" w:pos="3600"/>
        </w:tabs>
        <w:ind w:left="3600" w:hanging="360"/>
      </w:pPr>
      <w:rPr>
        <w:rFonts w:ascii="Wingdings" w:hAnsi="Wingdings" w:hint="default"/>
      </w:rPr>
    </w:lvl>
    <w:lvl w:ilvl="5" w:tplc="0CBE59F2" w:tentative="1">
      <w:start w:val="1"/>
      <w:numFmt w:val="bullet"/>
      <w:lvlText w:val=""/>
      <w:lvlJc w:val="left"/>
      <w:pPr>
        <w:tabs>
          <w:tab w:val="num" w:pos="4320"/>
        </w:tabs>
        <w:ind w:left="4320" w:hanging="360"/>
      </w:pPr>
      <w:rPr>
        <w:rFonts w:ascii="Wingdings" w:hAnsi="Wingdings" w:hint="default"/>
      </w:rPr>
    </w:lvl>
    <w:lvl w:ilvl="6" w:tplc="11CAF890" w:tentative="1">
      <w:start w:val="1"/>
      <w:numFmt w:val="bullet"/>
      <w:lvlText w:val=""/>
      <w:lvlJc w:val="left"/>
      <w:pPr>
        <w:tabs>
          <w:tab w:val="num" w:pos="5040"/>
        </w:tabs>
        <w:ind w:left="5040" w:hanging="360"/>
      </w:pPr>
      <w:rPr>
        <w:rFonts w:ascii="Wingdings" w:hAnsi="Wingdings" w:hint="default"/>
      </w:rPr>
    </w:lvl>
    <w:lvl w:ilvl="7" w:tplc="70AC0976" w:tentative="1">
      <w:start w:val="1"/>
      <w:numFmt w:val="bullet"/>
      <w:lvlText w:val=""/>
      <w:lvlJc w:val="left"/>
      <w:pPr>
        <w:tabs>
          <w:tab w:val="num" w:pos="5760"/>
        </w:tabs>
        <w:ind w:left="5760" w:hanging="360"/>
      </w:pPr>
      <w:rPr>
        <w:rFonts w:ascii="Wingdings" w:hAnsi="Wingdings" w:hint="default"/>
      </w:rPr>
    </w:lvl>
    <w:lvl w:ilvl="8" w:tplc="637E43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9572C"/>
    <w:multiLevelType w:val="hybridMultilevel"/>
    <w:tmpl w:val="F8D0E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10E8A"/>
    <w:rsid w:val="00015641"/>
    <w:rsid w:val="000203CF"/>
    <w:rsid w:val="00076566"/>
    <w:rsid w:val="00082230"/>
    <w:rsid w:val="00093145"/>
    <w:rsid w:val="000A6B12"/>
    <w:rsid w:val="000C7752"/>
    <w:rsid w:val="00114ABC"/>
    <w:rsid w:val="00130A15"/>
    <w:rsid w:val="001527FA"/>
    <w:rsid w:val="00156C3C"/>
    <w:rsid w:val="001B59CD"/>
    <w:rsid w:val="001D0F4A"/>
    <w:rsid w:val="001D55F6"/>
    <w:rsid w:val="001E49F1"/>
    <w:rsid w:val="00297CFA"/>
    <w:rsid w:val="002B6140"/>
    <w:rsid w:val="002F54E1"/>
    <w:rsid w:val="0031640B"/>
    <w:rsid w:val="00375E78"/>
    <w:rsid w:val="003C0BD6"/>
    <w:rsid w:val="003C53F5"/>
    <w:rsid w:val="003D1350"/>
    <w:rsid w:val="003E3058"/>
    <w:rsid w:val="003F49D9"/>
    <w:rsid w:val="003F616E"/>
    <w:rsid w:val="00407D5D"/>
    <w:rsid w:val="00410CDA"/>
    <w:rsid w:val="004665FE"/>
    <w:rsid w:val="0047482C"/>
    <w:rsid w:val="004A423F"/>
    <w:rsid w:val="004E1D39"/>
    <w:rsid w:val="00535F4E"/>
    <w:rsid w:val="0053678F"/>
    <w:rsid w:val="00567325"/>
    <w:rsid w:val="00573C56"/>
    <w:rsid w:val="005769AC"/>
    <w:rsid w:val="005A6147"/>
    <w:rsid w:val="005B1557"/>
    <w:rsid w:val="0063563F"/>
    <w:rsid w:val="006B20C3"/>
    <w:rsid w:val="007171CC"/>
    <w:rsid w:val="0079439D"/>
    <w:rsid w:val="00807BC2"/>
    <w:rsid w:val="00872FD0"/>
    <w:rsid w:val="00875070"/>
    <w:rsid w:val="00890C3F"/>
    <w:rsid w:val="008B28FE"/>
    <w:rsid w:val="008E13E0"/>
    <w:rsid w:val="008E2A9A"/>
    <w:rsid w:val="009249B1"/>
    <w:rsid w:val="00934BFC"/>
    <w:rsid w:val="00980870"/>
    <w:rsid w:val="009C42DB"/>
    <w:rsid w:val="00A277BA"/>
    <w:rsid w:val="00A46929"/>
    <w:rsid w:val="00A73823"/>
    <w:rsid w:val="00AF0275"/>
    <w:rsid w:val="00AF6E46"/>
    <w:rsid w:val="00B4346D"/>
    <w:rsid w:val="00B54E53"/>
    <w:rsid w:val="00B72631"/>
    <w:rsid w:val="00BA0D7E"/>
    <w:rsid w:val="00BA2C1D"/>
    <w:rsid w:val="00BE17CB"/>
    <w:rsid w:val="00C10EAA"/>
    <w:rsid w:val="00C1780B"/>
    <w:rsid w:val="00C45E92"/>
    <w:rsid w:val="00C578E7"/>
    <w:rsid w:val="00C870F8"/>
    <w:rsid w:val="00C91F49"/>
    <w:rsid w:val="00C925C8"/>
    <w:rsid w:val="00CF512F"/>
    <w:rsid w:val="00DB507F"/>
    <w:rsid w:val="00DB66D1"/>
    <w:rsid w:val="00DC756F"/>
    <w:rsid w:val="00DD0E00"/>
    <w:rsid w:val="00DD2182"/>
    <w:rsid w:val="00DE3A17"/>
    <w:rsid w:val="00E27681"/>
    <w:rsid w:val="00E5697E"/>
    <w:rsid w:val="00E573A8"/>
    <w:rsid w:val="00E86AD1"/>
    <w:rsid w:val="00E94DBC"/>
    <w:rsid w:val="00EB27E6"/>
    <w:rsid w:val="00EE2FE2"/>
    <w:rsid w:val="00EE7A9A"/>
    <w:rsid w:val="00F318B8"/>
    <w:rsid w:val="00F70ADA"/>
    <w:rsid w:val="00F920F6"/>
    <w:rsid w:val="00FD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026E"/>
  <w15:docId w15:val="{0E726354-F19B-4C15-A5AF-84D94A8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styleId="NormalWeb">
    <w:name w:val="Normal (Web)"/>
    <w:basedOn w:val="Normal"/>
    <w:rsid w:val="00FD74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50628955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19547534">
      <w:bodyDiv w:val="1"/>
      <w:marLeft w:val="0"/>
      <w:marRight w:val="0"/>
      <w:marTop w:val="0"/>
      <w:marBottom w:val="0"/>
      <w:divBdr>
        <w:top w:val="none" w:sz="0" w:space="0" w:color="auto"/>
        <w:left w:val="none" w:sz="0" w:space="0" w:color="auto"/>
        <w:bottom w:val="none" w:sz="0" w:space="0" w:color="auto"/>
        <w:right w:val="none" w:sz="0" w:space="0" w:color="auto"/>
      </w:divBdr>
      <w:divsChild>
        <w:div w:id="850602621">
          <w:marLeft w:val="547"/>
          <w:marRight w:val="0"/>
          <w:marTop w:val="115"/>
          <w:marBottom w:val="0"/>
          <w:divBdr>
            <w:top w:val="none" w:sz="0" w:space="0" w:color="auto"/>
            <w:left w:val="none" w:sz="0" w:space="0" w:color="auto"/>
            <w:bottom w:val="none" w:sz="0" w:space="0" w:color="auto"/>
            <w:right w:val="none" w:sz="0" w:space="0" w:color="auto"/>
          </w:divBdr>
        </w:div>
        <w:div w:id="386491607">
          <w:marLeft w:val="547"/>
          <w:marRight w:val="0"/>
          <w:marTop w:val="115"/>
          <w:marBottom w:val="0"/>
          <w:divBdr>
            <w:top w:val="none" w:sz="0" w:space="0" w:color="auto"/>
            <w:left w:val="none" w:sz="0" w:space="0" w:color="auto"/>
            <w:bottom w:val="none" w:sz="0" w:space="0" w:color="auto"/>
            <w:right w:val="none" w:sz="0" w:space="0" w:color="auto"/>
          </w:divBdr>
        </w:div>
        <w:div w:id="1144662086">
          <w:marLeft w:val="547"/>
          <w:marRight w:val="0"/>
          <w:marTop w:val="115"/>
          <w:marBottom w:val="0"/>
          <w:divBdr>
            <w:top w:val="none" w:sz="0" w:space="0" w:color="auto"/>
            <w:left w:val="none" w:sz="0" w:space="0" w:color="auto"/>
            <w:bottom w:val="none" w:sz="0" w:space="0" w:color="auto"/>
            <w:right w:val="none" w:sz="0" w:space="0" w:color="auto"/>
          </w:divBdr>
        </w:div>
        <w:div w:id="431821428">
          <w:marLeft w:val="547"/>
          <w:marRight w:val="0"/>
          <w:marTop w:val="115"/>
          <w:marBottom w:val="0"/>
          <w:divBdr>
            <w:top w:val="none" w:sz="0" w:space="0" w:color="auto"/>
            <w:left w:val="none" w:sz="0" w:space="0" w:color="auto"/>
            <w:bottom w:val="none" w:sz="0" w:space="0" w:color="auto"/>
            <w:right w:val="none" w:sz="0" w:space="0" w:color="auto"/>
          </w:divBdr>
        </w:div>
        <w:div w:id="20090914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Linda Green</cp:lastModifiedBy>
  <cp:revision>2</cp:revision>
  <cp:lastPrinted>2014-08-18T17:43:00Z</cp:lastPrinted>
  <dcterms:created xsi:type="dcterms:W3CDTF">2019-04-30T21:17:00Z</dcterms:created>
  <dcterms:modified xsi:type="dcterms:W3CDTF">2019-04-30T21:17:00Z</dcterms:modified>
</cp:coreProperties>
</file>