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F9D" w:rsidRPr="00D749B2" w:rsidRDefault="00470F9D" w:rsidP="00470F9D">
      <w:pPr>
        <w:pStyle w:val="Default"/>
        <w:spacing w:before="100" w:after="100"/>
        <w:jc w:val="center"/>
        <w:rPr>
          <w:rFonts w:asciiTheme="minorHAnsi" w:hAnsiTheme="minorHAnsi"/>
          <w:b/>
          <w:bCs/>
          <w:color w:val="auto"/>
          <w:sz w:val="28"/>
          <w:szCs w:val="28"/>
        </w:rPr>
      </w:pPr>
      <w:r w:rsidRPr="00D749B2">
        <w:rPr>
          <w:rFonts w:asciiTheme="minorHAnsi" w:hAnsiTheme="minorHAnsi"/>
          <w:b/>
          <w:bCs/>
          <w:color w:val="auto"/>
          <w:sz w:val="28"/>
          <w:szCs w:val="28"/>
        </w:rPr>
        <w:t xml:space="preserve">FINC </w:t>
      </w:r>
      <w:r w:rsidR="005A22F6">
        <w:rPr>
          <w:rFonts w:asciiTheme="minorHAnsi" w:hAnsiTheme="minorHAnsi"/>
          <w:b/>
          <w:bCs/>
          <w:color w:val="auto"/>
          <w:sz w:val="28"/>
          <w:szCs w:val="28"/>
        </w:rPr>
        <w:t>B837</w:t>
      </w:r>
      <w:bookmarkStart w:id="0" w:name="_GoBack"/>
      <w:bookmarkEnd w:id="0"/>
      <w:r>
        <w:rPr>
          <w:rFonts w:asciiTheme="minorHAnsi" w:hAnsiTheme="minorHAnsi"/>
          <w:b/>
          <w:bCs/>
          <w:color w:val="auto"/>
          <w:sz w:val="28"/>
          <w:szCs w:val="28"/>
        </w:rPr>
        <w:t>8-001</w:t>
      </w:r>
      <w:r w:rsidRPr="00D749B2">
        <w:rPr>
          <w:rFonts w:asciiTheme="minorHAnsi" w:hAnsiTheme="minorHAnsi"/>
          <w:b/>
          <w:bCs/>
          <w:color w:val="auto"/>
          <w:sz w:val="28"/>
          <w:szCs w:val="28"/>
        </w:rPr>
        <w:t xml:space="preserve"> </w:t>
      </w:r>
      <w:r>
        <w:rPr>
          <w:rFonts w:asciiTheme="minorHAnsi" w:hAnsiTheme="minorHAnsi"/>
          <w:b/>
          <w:bCs/>
          <w:color w:val="auto"/>
          <w:sz w:val="28"/>
          <w:szCs w:val="28"/>
        </w:rPr>
        <w:t>Value Investing with Legends</w:t>
      </w:r>
    </w:p>
    <w:p w:rsidR="00470F9D" w:rsidRDefault="00470F9D" w:rsidP="00470F9D">
      <w:pPr>
        <w:pStyle w:val="Default"/>
        <w:spacing w:before="100" w:after="100"/>
        <w:jc w:val="center"/>
        <w:rPr>
          <w:rFonts w:asciiTheme="minorHAnsi" w:hAnsiTheme="minorHAnsi"/>
          <w:b/>
          <w:bCs/>
          <w:color w:val="auto"/>
          <w:sz w:val="28"/>
          <w:szCs w:val="28"/>
        </w:rPr>
      </w:pPr>
      <w:r w:rsidRPr="00D749B2">
        <w:rPr>
          <w:rFonts w:asciiTheme="minorHAnsi" w:hAnsiTheme="minorHAnsi"/>
          <w:b/>
          <w:bCs/>
          <w:color w:val="auto"/>
          <w:sz w:val="28"/>
          <w:szCs w:val="28"/>
        </w:rPr>
        <w:t xml:space="preserve">Tuesday/Thursday 5:45pm – </w:t>
      </w:r>
      <w:r>
        <w:rPr>
          <w:rFonts w:asciiTheme="minorHAnsi" w:hAnsiTheme="minorHAnsi"/>
          <w:b/>
          <w:bCs/>
          <w:color w:val="auto"/>
          <w:sz w:val="28"/>
          <w:szCs w:val="28"/>
        </w:rPr>
        <w:t>7:15</w:t>
      </w:r>
      <w:r w:rsidRPr="00D749B2">
        <w:rPr>
          <w:rFonts w:asciiTheme="minorHAnsi" w:hAnsiTheme="minorHAnsi"/>
          <w:b/>
          <w:bCs/>
          <w:color w:val="auto"/>
          <w:sz w:val="28"/>
          <w:szCs w:val="28"/>
        </w:rPr>
        <w:t xml:space="preserve">pm </w:t>
      </w:r>
    </w:p>
    <w:p w:rsidR="00470F9D" w:rsidRPr="00D749B2" w:rsidRDefault="00470F9D" w:rsidP="00470F9D">
      <w:pPr>
        <w:pStyle w:val="Default"/>
        <w:spacing w:before="100" w:after="100"/>
        <w:jc w:val="center"/>
        <w:rPr>
          <w:rFonts w:asciiTheme="minorHAnsi" w:hAnsiTheme="minorHAnsi"/>
          <w:color w:val="auto"/>
          <w:sz w:val="28"/>
          <w:szCs w:val="28"/>
        </w:rPr>
      </w:pPr>
      <w:r w:rsidRPr="00D749B2">
        <w:rPr>
          <w:rFonts w:asciiTheme="minorHAnsi" w:hAnsiTheme="minorHAnsi"/>
          <w:b/>
          <w:bCs/>
          <w:color w:val="auto"/>
          <w:sz w:val="28"/>
          <w:szCs w:val="28"/>
        </w:rPr>
        <w:t>Uris Room 301</w:t>
      </w:r>
      <w:r w:rsidRPr="00D749B2">
        <w:rPr>
          <w:rFonts w:asciiTheme="minorHAnsi" w:hAnsiTheme="minorHAnsi"/>
          <w:color w:val="auto"/>
          <w:sz w:val="28"/>
          <w:szCs w:val="28"/>
        </w:rPr>
        <w:t xml:space="preserve"> </w:t>
      </w:r>
      <w:r>
        <w:rPr>
          <w:rFonts w:asciiTheme="minorHAnsi" w:hAnsiTheme="minorHAnsi"/>
          <w:color w:val="auto"/>
          <w:sz w:val="28"/>
          <w:szCs w:val="28"/>
        </w:rPr>
        <w:t xml:space="preserve">(Term A); </w:t>
      </w:r>
      <w:r w:rsidRPr="00AF48D9">
        <w:rPr>
          <w:rFonts w:asciiTheme="minorHAnsi" w:hAnsiTheme="minorHAnsi"/>
          <w:b/>
          <w:color w:val="auto"/>
          <w:sz w:val="28"/>
          <w:szCs w:val="28"/>
        </w:rPr>
        <w:t>Uris 142</w:t>
      </w:r>
      <w:r>
        <w:rPr>
          <w:rFonts w:asciiTheme="minorHAnsi" w:hAnsiTheme="minorHAnsi"/>
          <w:color w:val="auto"/>
          <w:sz w:val="28"/>
          <w:szCs w:val="28"/>
        </w:rPr>
        <w:t xml:space="preserve"> (Term B)</w:t>
      </w:r>
    </w:p>
    <w:p w:rsidR="00470F9D" w:rsidRDefault="00470F9D" w:rsidP="00470F9D">
      <w:pPr>
        <w:pStyle w:val="Default"/>
        <w:spacing w:before="100" w:after="100"/>
        <w:jc w:val="center"/>
        <w:rPr>
          <w:rFonts w:asciiTheme="minorHAnsi" w:hAnsiTheme="minorHAnsi"/>
          <w:b/>
          <w:bCs/>
          <w:color w:val="auto"/>
          <w:sz w:val="28"/>
          <w:szCs w:val="28"/>
        </w:rPr>
      </w:pPr>
      <w:r w:rsidRPr="00D749B2">
        <w:rPr>
          <w:rFonts w:asciiTheme="minorHAnsi" w:hAnsiTheme="minorHAnsi"/>
          <w:b/>
          <w:bCs/>
          <w:color w:val="auto"/>
          <w:sz w:val="28"/>
          <w:szCs w:val="28"/>
        </w:rPr>
        <w:t>SPRING 201</w:t>
      </w:r>
      <w:r w:rsidR="004D1C9A">
        <w:rPr>
          <w:rFonts w:asciiTheme="minorHAnsi" w:hAnsiTheme="minorHAnsi"/>
          <w:b/>
          <w:bCs/>
          <w:color w:val="auto"/>
          <w:sz w:val="28"/>
          <w:szCs w:val="28"/>
        </w:rPr>
        <w:t>5</w:t>
      </w:r>
    </w:p>
    <w:p w:rsidR="004D1C9A" w:rsidRPr="00D749B2" w:rsidRDefault="004D1C9A" w:rsidP="00470F9D">
      <w:pPr>
        <w:pStyle w:val="Default"/>
        <w:spacing w:before="100" w:after="100"/>
        <w:jc w:val="center"/>
        <w:rPr>
          <w:rFonts w:asciiTheme="minorHAnsi" w:hAnsiTheme="minorHAnsi"/>
          <w:color w:val="auto"/>
          <w:sz w:val="28"/>
          <w:szCs w:val="28"/>
        </w:rPr>
      </w:pPr>
      <w:r>
        <w:rPr>
          <w:rFonts w:asciiTheme="minorHAnsi" w:hAnsiTheme="minorHAnsi"/>
          <w:b/>
          <w:bCs/>
          <w:color w:val="auto"/>
          <w:sz w:val="28"/>
          <w:szCs w:val="28"/>
        </w:rPr>
        <w:t>(**All information below is subject to change**)</w:t>
      </w:r>
    </w:p>
    <w:p w:rsidR="00470F9D" w:rsidRPr="00D749B2" w:rsidRDefault="00470F9D" w:rsidP="00470F9D">
      <w:pPr>
        <w:pStyle w:val="Default"/>
        <w:rPr>
          <w:rFonts w:asciiTheme="minorHAnsi" w:hAnsiTheme="minorHAnsi"/>
          <w:color w:val="auto"/>
        </w:rPr>
      </w:pPr>
      <w:r w:rsidRPr="00D749B2">
        <w:rPr>
          <w:rFonts w:asciiTheme="minorHAnsi" w:hAnsiTheme="minorHAnsi"/>
          <w:color w:val="auto"/>
        </w:rPr>
        <w:t xml:space="preserve">  </w:t>
      </w:r>
    </w:p>
    <w:p w:rsidR="00470F9D" w:rsidRPr="00D749B2" w:rsidRDefault="00470F9D" w:rsidP="00470F9D">
      <w:pPr>
        <w:pStyle w:val="Default"/>
        <w:rPr>
          <w:rFonts w:asciiTheme="minorHAnsi" w:hAnsiTheme="minorHAnsi"/>
          <w:color w:val="auto"/>
        </w:rPr>
      </w:pPr>
    </w:p>
    <w:p w:rsidR="00470F9D" w:rsidRPr="003B0650" w:rsidRDefault="00470F9D" w:rsidP="00470F9D">
      <w:pPr>
        <w:pStyle w:val="Default"/>
        <w:rPr>
          <w:rFonts w:asciiTheme="minorHAnsi" w:hAnsiTheme="minorHAnsi"/>
          <w:color w:val="auto"/>
          <w:sz w:val="22"/>
          <w:szCs w:val="22"/>
        </w:rPr>
      </w:pPr>
      <w:r w:rsidRPr="003B0650">
        <w:rPr>
          <w:rFonts w:asciiTheme="minorHAnsi" w:hAnsiTheme="minorHAnsi"/>
          <w:color w:val="auto"/>
          <w:sz w:val="22"/>
          <w:szCs w:val="22"/>
        </w:rPr>
        <w:t xml:space="preserve">Instructor: </w:t>
      </w:r>
      <w:r w:rsidRPr="003B0650">
        <w:rPr>
          <w:rFonts w:asciiTheme="minorHAnsi" w:hAnsiTheme="minorHAnsi"/>
          <w:b/>
          <w:bCs/>
          <w:color w:val="auto"/>
          <w:sz w:val="22"/>
          <w:szCs w:val="22"/>
        </w:rPr>
        <w:t xml:space="preserve">Bruce Greenwald, </w:t>
      </w:r>
      <w:r w:rsidRPr="003B0650">
        <w:rPr>
          <w:rFonts w:asciiTheme="minorHAnsi" w:hAnsiTheme="minorHAnsi"/>
          <w:color w:val="auto"/>
          <w:sz w:val="22"/>
          <w:szCs w:val="22"/>
        </w:rPr>
        <w:t xml:space="preserve">Robert Heilbrunn Professor of Asset Management &amp; Finance  </w:t>
      </w:r>
    </w:p>
    <w:p w:rsidR="00470F9D" w:rsidRPr="003B0650" w:rsidRDefault="00470F9D" w:rsidP="00470F9D">
      <w:pPr>
        <w:pStyle w:val="Default"/>
        <w:rPr>
          <w:rFonts w:asciiTheme="minorHAnsi" w:hAnsiTheme="minorHAnsi"/>
          <w:color w:val="auto"/>
          <w:sz w:val="22"/>
          <w:szCs w:val="22"/>
        </w:rPr>
      </w:pPr>
      <w:r w:rsidRPr="003B0650">
        <w:rPr>
          <w:rFonts w:asciiTheme="minorHAnsi" w:hAnsiTheme="minorHAnsi"/>
          <w:color w:val="auto"/>
          <w:sz w:val="22"/>
          <w:szCs w:val="22"/>
        </w:rPr>
        <w:t xml:space="preserve">Office:  315 Uris Hall  </w:t>
      </w:r>
    </w:p>
    <w:p w:rsidR="00470F9D" w:rsidRPr="003B0650" w:rsidRDefault="004D1C9A" w:rsidP="00470F9D">
      <w:pPr>
        <w:pStyle w:val="Default"/>
        <w:ind w:left="1440" w:hanging="1440"/>
        <w:rPr>
          <w:rFonts w:asciiTheme="minorHAnsi" w:hAnsiTheme="minorHAnsi"/>
          <w:color w:val="auto"/>
          <w:sz w:val="22"/>
          <w:szCs w:val="22"/>
        </w:rPr>
      </w:pPr>
      <w:r>
        <w:rPr>
          <w:rFonts w:asciiTheme="minorHAnsi" w:hAnsiTheme="minorHAnsi"/>
          <w:color w:val="auto"/>
          <w:sz w:val="22"/>
          <w:szCs w:val="22"/>
        </w:rPr>
        <w:t xml:space="preserve">Phone:   </w:t>
      </w:r>
      <w:r w:rsidR="00470F9D" w:rsidRPr="003B0650">
        <w:rPr>
          <w:rFonts w:asciiTheme="minorHAnsi" w:hAnsiTheme="minorHAnsi"/>
          <w:color w:val="auto"/>
          <w:sz w:val="22"/>
          <w:szCs w:val="22"/>
        </w:rPr>
        <w:t xml:space="preserve"> </w:t>
      </w:r>
    </w:p>
    <w:p w:rsidR="00470F9D" w:rsidRPr="003B0650" w:rsidRDefault="00470F9D" w:rsidP="00470F9D">
      <w:pPr>
        <w:pStyle w:val="Default"/>
        <w:rPr>
          <w:rFonts w:asciiTheme="minorHAnsi" w:hAnsiTheme="minorHAnsi"/>
          <w:color w:val="auto"/>
          <w:sz w:val="22"/>
          <w:szCs w:val="22"/>
        </w:rPr>
      </w:pPr>
      <w:r w:rsidRPr="003B0650">
        <w:rPr>
          <w:rFonts w:asciiTheme="minorHAnsi" w:hAnsiTheme="minorHAnsi"/>
          <w:color w:val="auto"/>
          <w:sz w:val="22"/>
          <w:szCs w:val="22"/>
        </w:rPr>
        <w:t xml:space="preserve">Email:   bg7@columbia.edu  </w:t>
      </w:r>
    </w:p>
    <w:p w:rsidR="00470F9D" w:rsidRPr="003B0650" w:rsidRDefault="00470F9D" w:rsidP="00470F9D">
      <w:pPr>
        <w:pStyle w:val="Default"/>
        <w:rPr>
          <w:rFonts w:asciiTheme="minorHAnsi" w:hAnsiTheme="minorHAnsi"/>
          <w:color w:val="auto"/>
          <w:sz w:val="22"/>
          <w:szCs w:val="22"/>
        </w:rPr>
      </w:pPr>
    </w:p>
    <w:p w:rsidR="00470F9D" w:rsidRPr="003B0650" w:rsidRDefault="00470F9D" w:rsidP="00470F9D">
      <w:pPr>
        <w:pStyle w:val="Default"/>
        <w:rPr>
          <w:rFonts w:asciiTheme="minorHAnsi" w:hAnsiTheme="minorHAnsi"/>
          <w:color w:val="auto"/>
          <w:sz w:val="22"/>
          <w:szCs w:val="22"/>
        </w:rPr>
      </w:pPr>
      <w:r w:rsidRPr="003B0650">
        <w:rPr>
          <w:rFonts w:asciiTheme="minorHAnsi" w:hAnsiTheme="minorHAnsi"/>
          <w:color w:val="auto"/>
          <w:sz w:val="22"/>
          <w:szCs w:val="22"/>
        </w:rPr>
        <w:t xml:space="preserve">Instructor: </w:t>
      </w:r>
      <w:r w:rsidRPr="003B0650">
        <w:rPr>
          <w:rFonts w:asciiTheme="minorHAnsi" w:hAnsiTheme="minorHAnsi"/>
          <w:b/>
          <w:bCs/>
          <w:color w:val="auto"/>
          <w:sz w:val="22"/>
          <w:szCs w:val="22"/>
        </w:rPr>
        <w:t xml:space="preserve">Tano Santos, </w:t>
      </w:r>
      <w:r w:rsidRPr="003B0650">
        <w:rPr>
          <w:rFonts w:asciiTheme="minorHAnsi" w:hAnsiTheme="minorHAnsi"/>
          <w:bCs/>
          <w:color w:val="auto"/>
          <w:sz w:val="22"/>
          <w:szCs w:val="22"/>
        </w:rPr>
        <w:t>David L. and Elsie M. Dodd Professor of Finance</w:t>
      </w:r>
    </w:p>
    <w:p w:rsidR="00470F9D" w:rsidRPr="003B0650" w:rsidRDefault="00470F9D" w:rsidP="00470F9D">
      <w:pPr>
        <w:pStyle w:val="Default"/>
        <w:rPr>
          <w:rFonts w:asciiTheme="minorHAnsi" w:hAnsiTheme="minorHAnsi"/>
          <w:color w:val="auto"/>
          <w:sz w:val="22"/>
          <w:szCs w:val="22"/>
        </w:rPr>
      </w:pPr>
      <w:r w:rsidRPr="003B0650">
        <w:rPr>
          <w:rFonts w:asciiTheme="minorHAnsi" w:hAnsiTheme="minorHAnsi"/>
          <w:color w:val="auto"/>
          <w:sz w:val="22"/>
          <w:szCs w:val="22"/>
        </w:rPr>
        <w:t xml:space="preserve">Office:  815 Uris Hall  </w:t>
      </w:r>
    </w:p>
    <w:p w:rsidR="00470F9D" w:rsidRPr="003B0650" w:rsidRDefault="004D1C9A" w:rsidP="00470F9D">
      <w:pPr>
        <w:pStyle w:val="Default"/>
        <w:ind w:left="1440" w:hanging="1440"/>
        <w:rPr>
          <w:rFonts w:asciiTheme="minorHAnsi" w:hAnsiTheme="minorHAnsi"/>
          <w:color w:val="auto"/>
          <w:sz w:val="22"/>
          <w:szCs w:val="22"/>
        </w:rPr>
      </w:pPr>
      <w:r>
        <w:rPr>
          <w:rFonts w:asciiTheme="minorHAnsi" w:hAnsiTheme="minorHAnsi"/>
          <w:color w:val="auto"/>
          <w:sz w:val="22"/>
          <w:szCs w:val="22"/>
        </w:rPr>
        <w:t xml:space="preserve">Phone:   </w:t>
      </w:r>
    </w:p>
    <w:p w:rsidR="00470F9D" w:rsidRDefault="00470F9D" w:rsidP="00470F9D">
      <w:pPr>
        <w:pStyle w:val="Default"/>
      </w:pPr>
      <w:r w:rsidRPr="003B0650">
        <w:rPr>
          <w:rFonts w:asciiTheme="minorHAnsi" w:hAnsiTheme="minorHAnsi"/>
          <w:color w:val="auto"/>
          <w:sz w:val="22"/>
          <w:szCs w:val="22"/>
        </w:rPr>
        <w:t xml:space="preserve">Email:   </w:t>
      </w:r>
      <w:hyperlink r:id="rId6" w:history="1">
        <w:r w:rsidRPr="000B1CF7">
          <w:rPr>
            <w:rStyle w:val="Hyperlink"/>
            <w:rFonts w:asciiTheme="minorHAnsi" w:hAnsiTheme="minorHAnsi"/>
            <w:sz w:val="22"/>
            <w:szCs w:val="22"/>
          </w:rPr>
          <w:t>js1786@columbia.edu</w:t>
        </w:r>
      </w:hyperlink>
    </w:p>
    <w:p w:rsidR="00470F9D" w:rsidRDefault="00470F9D" w:rsidP="00470F9D">
      <w:pPr>
        <w:pStyle w:val="Default"/>
      </w:pPr>
    </w:p>
    <w:p w:rsidR="003029B4" w:rsidRPr="003029B4" w:rsidRDefault="00470F9D" w:rsidP="00470F9D">
      <w:pPr>
        <w:pStyle w:val="Default"/>
        <w:rPr>
          <w:rFonts w:asciiTheme="minorHAnsi" w:hAnsiTheme="minorHAnsi"/>
          <w:bCs/>
          <w:color w:val="auto"/>
          <w:sz w:val="22"/>
          <w:szCs w:val="22"/>
        </w:rPr>
      </w:pPr>
      <w:r w:rsidRPr="00E02B21">
        <w:rPr>
          <w:rFonts w:asciiTheme="minorHAnsi" w:hAnsiTheme="minorHAnsi"/>
          <w:color w:val="auto"/>
          <w:sz w:val="22"/>
          <w:szCs w:val="22"/>
        </w:rPr>
        <w:t xml:space="preserve">Instructor: </w:t>
      </w:r>
      <w:r w:rsidRPr="0025673F">
        <w:rPr>
          <w:rFonts w:asciiTheme="minorHAnsi" w:hAnsiTheme="minorHAnsi"/>
          <w:b/>
          <w:color w:val="auto"/>
          <w:sz w:val="22"/>
          <w:szCs w:val="22"/>
        </w:rPr>
        <w:t>Jean-Marie Eveillard</w:t>
      </w:r>
      <w:r w:rsidR="003029B4">
        <w:rPr>
          <w:rFonts w:asciiTheme="minorHAnsi" w:hAnsiTheme="minorHAnsi"/>
          <w:b/>
          <w:color w:val="auto"/>
          <w:sz w:val="22"/>
          <w:szCs w:val="22"/>
        </w:rPr>
        <w:t xml:space="preserve">, </w:t>
      </w:r>
      <w:r w:rsidR="003029B4" w:rsidRPr="003029B4">
        <w:rPr>
          <w:rFonts w:asciiTheme="minorHAnsi" w:hAnsiTheme="minorHAnsi"/>
          <w:bCs/>
          <w:color w:val="auto"/>
          <w:sz w:val="22"/>
          <w:szCs w:val="22"/>
        </w:rPr>
        <w:t xml:space="preserve">William von </w:t>
      </w:r>
      <w:proofErr w:type="spellStart"/>
      <w:r w:rsidR="003029B4" w:rsidRPr="003029B4">
        <w:rPr>
          <w:rFonts w:asciiTheme="minorHAnsi" w:hAnsiTheme="minorHAnsi"/>
          <w:bCs/>
          <w:color w:val="auto"/>
          <w:sz w:val="22"/>
          <w:szCs w:val="22"/>
        </w:rPr>
        <w:t>Mueffling</w:t>
      </w:r>
      <w:proofErr w:type="spellEnd"/>
      <w:r w:rsidR="003029B4" w:rsidRPr="003029B4">
        <w:rPr>
          <w:rFonts w:asciiTheme="minorHAnsi" w:hAnsiTheme="minorHAnsi"/>
          <w:bCs/>
          <w:color w:val="auto"/>
          <w:sz w:val="22"/>
          <w:szCs w:val="22"/>
        </w:rPr>
        <w:t xml:space="preserve"> Professor of Professional Practice</w:t>
      </w:r>
    </w:p>
    <w:p w:rsidR="00470F9D" w:rsidRDefault="00470F9D" w:rsidP="00470F9D">
      <w:pPr>
        <w:pStyle w:val="Default"/>
        <w:rPr>
          <w:rFonts w:asciiTheme="minorHAnsi" w:hAnsiTheme="minorHAnsi"/>
          <w:color w:val="auto"/>
          <w:sz w:val="22"/>
          <w:szCs w:val="22"/>
        </w:rPr>
      </w:pPr>
      <w:r w:rsidRPr="00E02B21">
        <w:rPr>
          <w:rFonts w:asciiTheme="minorHAnsi" w:hAnsiTheme="minorHAnsi"/>
          <w:color w:val="auto"/>
          <w:sz w:val="22"/>
          <w:szCs w:val="22"/>
        </w:rPr>
        <w:t>Office: 316B Uris Hall</w:t>
      </w:r>
    </w:p>
    <w:p w:rsidR="00470F9D" w:rsidRDefault="00470F9D" w:rsidP="00470F9D">
      <w:pPr>
        <w:pStyle w:val="Default"/>
        <w:rPr>
          <w:rFonts w:asciiTheme="minorHAnsi" w:hAnsiTheme="minorHAnsi"/>
          <w:color w:val="auto"/>
          <w:sz w:val="22"/>
          <w:szCs w:val="22"/>
        </w:rPr>
      </w:pPr>
    </w:p>
    <w:p w:rsidR="00470F9D" w:rsidRPr="00EB6082" w:rsidRDefault="00470F9D" w:rsidP="00470F9D">
      <w:pPr>
        <w:pStyle w:val="Default"/>
        <w:rPr>
          <w:rFonts w:asciiTheme="minorHAnsi" w:hAnsiTheme="minorHAnsi"/>
          <w:color w:val="auto"/>
          <w:sz w:val="22"/>
          <w:szCs w:val="22"/>
        </w:rPr>
      </w:pPr>
      <w:r w:rsidRPr="00EB6082">
        <w:rPr>
          <w:rFonts w:asciiTheme="minorHAnsi" w:hAnsiTheme="minorHAnsi"/>
          <w:color w:val="auto"/>
          <w:sz w:val="22"/>
          <w:szCs w:val="22"/>
        </w:rPr>
        <w:t xml:space="preserve">TA: </w:t>
      </w:r>
    </w:p>
    <w:p w:rsidR="00470F9D" w:rsidRPr="003B0650" w:rsidRDefault="00470F9D" w:rsidP="00470F9D">
      <w:pPr>
        <w:pStyle w:val="Default"/>
        <w:rPr>
          <w:rFonts w:asciiTheme="minorHAnsi" w:hAnsiTheme="minorHAnsi"/>
          <w:color w:val="auto"/>
          <w:sz w:val="22"/>
          <w:szCs w:val="22"/>
        </w:rPr>
      </w:pPr>
    </w:p>
    <w:p w:rsidR="00470F9D" w:rsidRDefault="00470F9D" w:rsidP="00470F9D"/>
    <w:p w:rsidR="00470F9D" w:rsidRPr="004A6B45" w:rsidRDefault="00470F9D" w:rsidP="00470F9D">
      <w:pPr>
        <w:rPr>
          <w:rFonts w:asciiTheme="minorHAnsi" w:hAnsiTheme="minorHAnsi"/>
          <w:b/>
          <w:sz w:val="22"/>
          <w:szCs w:val="22"/>
        </w:rPr>
      </w:pPr>
      <w:r w:rsidRPr="004A6B45">
        <w:rPr>
          <w:rFonts w:asciiTheme="minorHAnsi" w:hAnsiTheme="minorHAnsi"/>
          <w:b/>
          <w:sz w:val="22"/>
          <w:szCs w:val="22"/>
        </w:rPr>
        <w:t>REQUIRED COURSE MATERIAL</w:t>
      </w:r>
    </w:p>
    <w:p w:rsidR="00470F9D" w:rsidRPr="00AF48D9" w:rsidRDefault="00470F9D" w:rsidP="00470F9D">
      <w:pPr>
        <w:jc w:val="both"/>
        <w:rPr>
          <w:rFonts w:asciiTheme="minorHAnsi" w:hAnsiTheme="minorHAnsi"/>
          <w:b/>
          <w:sz w:val="22"/>
          <w:szCs w:val="22"/>
        </w:rPr>
      </w:pPr>
      <w:r w:rsidRPr="00AF48D9">
        <w:rPr>
          <w:rFonts w:asciiTheme="minorHAnsi" w:hAnsiTheme="minorHAnsi"/>
          <w:b/>
          <w:sz w:val="22"/>
          <w:szCs w:val="22"/>
        </w:rPr>
        <w:t>Textbooks</w:t>
      </w:r>
    </w:p>
    <w:p w:rsidR="00470F9D" w:rsidRPr="003B0650" w:rsidRDefault="00470F9D" w:rsidP="00470F9D">
      <w:pPr>
        <w:rPr>
          <w:rFonts w:asciiTheme="minorHAnsi" w:hAnsiTheme="minorHAnsi"/>
          <w:sz w:val="22"/>
          <w:szCs w:val="22"/>
        </w:rPr>
      </w:pPr>
      <w:r w:rsidRPr="003B0650">
        <w:rPr>
          <w:rFonts w:asciiTheme="minorHAnsi" w:hAnsiTheme="minorHAnsi"/>
          <w:sz w:val="22"/>
          <w:szCs w:val="22"/>
        </w:rPr>
        <w:t>There are two main textbooks:</w:t>
      </w:r>
    </w:p>
    <w:p w:rsidR="00470F9D" w:rsidRPr="003B0650" w:rsidRDefault="00470F9D" w:rsidP="00470F9D">
      <w:pPr>
        <w:rPr>
          <w:rFonts w:asciiTheme="minorHAnsi" w:hAnsiTheme="minorHAnsi"/>
          <w:sz w:val="22"/>
          <w:szCs w:val="22"/>
        </w:rPr>
      </w:pPr>
    </w:p>
    <w:p w:rsidR="00470F9D" w:rsidRPr="003B0650" w:rsidRDefault="005A22F6" w:rsidP="00470F9D">
      <w:pPr>
        <w:pStyle w:val="ListParagraph"/>
        <w:numPr>
          <w:ilvl w:val="0"/>
          <w:numId w:val="1"/>
        </w:numPr>
        <w:contextualSpacing/>
        <w:rPr>
          <w:rFonts w:asciiTheme="minorHAnsi" w:hAnsiTheme="minorHAnsi"/>
          <w:sz w:val="22"/>
          <w:szCs w:val="22"/>
        </w:rPr>
      </w:pPr>
      <w:hyperlink r:id="rId7" w:history="1">
        <w:r w:rsidR="00470F9D" w:rsidRPr="003B0650">
          <w:rPr>
            <w:rFonts w:asciiTheme="minorHAnsi" w:hAnsiTheme="minorHAnsi" w:cs="Arial"/>
            <w:bCs/>
            <w:i/>
            <w:sz w:val="22"/>
            <w:szCs w:val="22"/>
          </w:rPr>
          <w:t>Value Investing: From Graham to Buffett and Beyond</w:t>
        </w:r>
      </w:hyperlink>
      <w:r w:rsidR="00470F9D" w:rsidRPr="003B0650">
        <w:rPr>
          <w:rFonts w:asciiTheme="minorHAnsi" w:hAnsiTheme="minorHAnsi" w:cs="Arial"/>
          <w:bCs/>
          <w:sz w:val="22"/>
          <w:szCs w:val="22"/>
        </w:rPr>
        <w:t xml:space="preserve">. </w:t>
      </w:r>
      <w:hyperlink r:id="rId8" w:history="1">
        <w:r w:rsidR="00470F9D" w:rsidRPr="003B0650">
          <w:rPr>
            <w:rFonts w:asciiTheme="minorHAnsi" w:hAnsiTheme="minorHAnsi" w:cs="Arial"/>
            <w:sz w:val="22"/>
            <w:szCs w:val="22"/>
          </w:rPr>
          <w:t>Bruce C. N. Greenwald</w:t>
        </w:r>
      </w:hyperlink>
      <w:r w:rsidR="00470F9D" w:rsidRPr="003B0650">
        <w:rPr>
          <w:rFonts w:asciiTheme="minorHAnsi" w:hAnsiTheme="minorHAnsi" w:cs="Arial"/>
          <w:sz w:val="22"/>
          <w:szCs w:val="22"/>
        </w:rPr>
        <w:t xml:space="preserve">, Judd Kahn, Paul D. Sonkin and Michael van </w:t>
      </w:r>
      <w:proofErr w:type="spellStart"/>
      <w:r w:rsidR="00470F9D" w:rsidRPr="003B0650">
        <w:rPr>
          <w:rFonts w:asciiTheme="minorHAnsi" w:hAnsiTheme="minorHAnsi" w:cs="Arial"/>
          <w:sz w:val="22"/>
          <w:szCs w:val="22"/>
        </w:rPr>
        <w:t>Biema</w:t>
      </w:r>
      <w:proofErr w:type="spellEnd"/>
      <w:r w:rsidR="00470F9D" w:rsidRPr="003B0650">
        <w:rPr>
          <w:rFonts w:asciiTheme="minorHAnsi" w:hAnsiTheme="minorHAnsi" w:cs="Arial"/>
          <w:sz w:val="22"/>
          <w:szCs w:val="22"/>
        </w:rPr>
        <w:t>, Wiley Finance, 2004.</w:t>
      </w:r>
    </w:p>
    <w:p w:rsidR="00470F9D" w:rsidRPr="003B0650" w:rsidRDefault="00470F9D" w:rsidP="00470F9D">
      <w:pPr>
        <w:pStyle w:val="ListParagraph"/>
        <w:numPr>
          <w:ilvl w:val="0"/>
          <w:numId w:val="1"/>
        </w:numPr>
        <w:contextualSpacing/>
        <w:rPr>
          <w:rFonts w:asciiTheme="minorHAnsi" w:hAnsiTheme="minorHAnsi"/>
          <w:sz w:val="22"/>
          <w:szCs w:val="22"/>
        </w:rPr>
      </w:pPr>
      <w:r w:rsidRPr="003B0650">
        <w:rPr>
          <w:rFonts w:asciiTheme="minorHAnsi" w:hAnsiTheme="minorHAnsi" w:cs="Arial"/>
          <w:i/>
          <w:sz w:val="22"/>
          <w:szCs w:val="22"/>
        </w:rPr>
        <w:t>The Intelligent Investor: The Definitive Book on Value Investing. A Book of Practical Counsel</w:t>
      </w:r>
      <w:r w:rsidRPr="003B0650">
        <w:rPr>
          <w:rFonts w:asciiTheme="minorHAnsi" w:hAnsiTheme="minorHAnsi" w:cs="Arial"/>
          <w:sz w:val="22"/>
          <w:szCs w:val="22"/>
        </w:rPr>
        <w:t xml:space="preserve"> (Revised Edition) [with comments by Jason Zweig and introduction by Warren Buffet].</w:t>
      </w:r>
    </w:p>
    <w:p w:rsidR="00470F9D" w:rsidRPr="003B0650" w:rsidRDefault="00470F9D" w:rsidP="00470F9D">
      <w:pPr>
        <w:rPr>
          <w:rFonts w:asciiTheme="minorHAnsi" w:hAnsiTheme="minorHAnsi"/>
          <w:sz w:val="22"/>
          <w:szCs w:val="22"/>
        </w:rPr>
      </w:pPr>
    </w:p>
    <w:p w:rsidR="00470F9D" w:rsidRPr="003B0650" w:rsidRDefault="00470F9D" w:rsidP="00470F9D">
      <w:pPr>
        <w:rPr>
          <w:rFonts w:asciiTheme="minorHAnsi" w:hAnsiTheme="minorHAnsi"/>
          <w:sz w:val="22"/>
          <w:szCs w:val="22"/>
        </w:rPr>
      </w:pPr>
      <w:r w:rsidRPr="003B0650">
        <w:rPr>
          <w:rFonts w:asciiTheme="minorHAnsi" w:hAnsiTheme="minorHAnsi"/>
          <w:sz w:val="22"/>
          <w:szCs w:val="22"/>
        </w:rPr>
        <w:t>There is of course excellent literature on the subject of value investing and related topics. Some interesting books that immediately come to mind are:</w:t>
      </w:r>
    </w:p>
    <w:p w:rsidR="00470F9D" w:rsidRPr="003B0650" w:rsidRDefault="00470F9D" w:rsidP="00470F9D">
      <w:pPr>
        <w:rPr>
          <w:rFonts w:asciiTheme="minorHAnsi" w:hAnsiTheme="minorHAnsi"/>
          <w:sz w:val="22"/>
          <w:szCs w:val="22"/>
        </w:rPr>
      </w:pPr>
    </w:p>
    <w:p w:rsidR="00470F9D" w:rsidRPr="003B0650" w:rsidRDefault="00470F9D" w:rsidP="00470F9D">
      <w:pPr>
        <w:pStyle w:val="ListParagraph"/>
        <w:numPr>
          <w:ilvl w:val="0"/>
          <w:numId w:val="2"/>
        </w:numPr>
        <w:contextualSpacing/>
        <w:rPr>
          <w:rFonts w:asciiTheme="minorHAnsi" w:hAnsiTheme="minorHAnsi"/>
          <w:sz w:val="22"/>
          <w:szCs w:val="22"/>
        </w:rPr>
      </w:pPr>
      <w:r w:rsidRPr="003B0650">
        <w:rPr>
          <w:rFonts w:asciiTheme="minorHAnsi" w:hAnsiTheme="minorHAnsi"/>
          <w:i/>
          <w:sz w:val="22"/>
          <w:szCs w:val="22"/>
        </w:rPr>
        <w:t>The Little Book that Still Beats the Market</w:t>
      </w:r>
      <w:r w:rsidRPr="003B0650">
        <w:rPr>
          <w:rFonts w:asciiTheme="minorHAnsi" w:hAnsiTheme="minorHAnsi"/>
          <w:sz w:val="22"/>
          <w:szCs w:val="22"/>
        </w:rPr>
        <w:t>. Joel Greenblatt. John Wiley &amp; Sons, 2010.</w:t>
      </w:r>
    </w:p>
    <w:p w:rsidR="00470F9D" w:rsidRPr="003B0650" w:rsidRDefault="00470F9D" w:rsidP="00470F9D">
      <w:pPr>
        <w:pStyle w:val="ListParagraph"/>
        <w:numPr>
          <w:ilvl w:val="0"/>
          <w:numId w:val="2"/>
        </w:numPr>
        <w:contextualSpacing/>
        <w:rPr>
          <w:rFonts w:asciiTheme="minorHAnsi" w:hAnsiTheme="minorHAnsi"/>
          <w:sz w:val="22"/>
          <w:szCs w:val="22"/>
        </w:rPr>
      </w:pPr>
      <w:r w:rsidRPr="003B0650">
        <w:rPr>
          <w:rFonts w:asciiTheme="minorHAnsi" w:hAnsiTheme="minorHAnsi"/>
          <w:i/>
          <w:sz w:val="22"/>
          <w:szCs w:val="22"/>
        </w:rPr>
        <w:t xml:space="preserve">Margin of Safety: Risk </w:t>
      </w:r>
      <w:proofErr w:type="gramStart"/>
      <w:r w:rsidRPr="003B0650">
        <w:rPr>
          <w:rFonts w:asciiTheme="minorHAnsi" w:hAnsiTheme="minorHAnsi"/>
          <w:i/>
          <w:sz w:val="22"/>
          <w:szCs w:val="22"/>
        </w:rPr>
        <w:t>Averse</w:t>
      </w:r>
      <w:proofErr w:type="gramEnd"/>
      <w:r w:rsidRPr="003B0650">
        <w:rPr>
          <w:rFonts w:asciiTheme="minorHAnsi" w:hAnsiTheme="minorHAnsi"/>
          <w:i/>
          <w:sz w:val="22"/>
          <w:szCs w:val="22"/>
        </w:rPr>
        <w:t xml:space="preserve"> Value Investing Strategies for the Thoughtful Investor. </w:t>
      </w:r>
      <w:r w:rsidRPr="003B0650">
        <w:rPr>
          <w:rFonts w:asciiTheme="minorHAnsi" w:hAnsiTheme="minorHAnsi"/>
          <w:sz w:val="22"/>
          <w:szCs w:val="22"/>
        </w:rPr>
        <w:t xml:space="preserve">Seth </w:t>
      </w:r>
      <w:proofErr w:type="spellStart"/>
      <w:r w:rsidRPr="003B0650">
        <w:rPr>
          <w:rFonts w:asciiTheme="minorHAnsi" w:hAnsiTheme="minorHAnsi"/>
          <w:sz w:val="22"/>
          <w:szCs w:val="22"/>
        </w:rPr>
        <w:t>Klarman</w:t>
      </w:r>
      <w:proofErr w:type="spellEnd"/>
      <w:r w:rsidRPr="003B0650">
        <w:rPr>
          <w:rFonts w:asciiTheme="minorHAnsi" w:hAnsiTheme="minorHAnsi"/>
          <w:sz w:val="22"/>
          <w:szCs w:val="22"/>
        </w:rPr>
        <w:t>. Harper Business, 1991.</w:t>
      </w:r>
    </w:p>
    <w:p w:rsidR="00470F9D" w:rsidRPr="003B0650" w:rsidRDefault="00470F9D" w:rsidP="00470F9D">
      <w:pPr>
        <w:pStyle w:val="ListParagraph"/>
        <w:numPr>
          <w:ilvl w:val="0"/>
          <w:numId w:val="2"/>
        </w:numPr>
        <w:contextualSpacing/>
        <w:rPr>
          <w:rFonts w:asciiTheme="minorHAnsi" w:hAnsiTheme="minorHAnsi"/>
          <w:sz w:val="22"/>
          <w:szCs w:val="22"/>
        </w:rPr>
      </w:pPr>
      <w:r w:rsidRPr="003B0650">
        <w:rPr>
          <w:rFonts w:asciiTheme="minorHAnsi" w:hAnsiTheme="minorHAnsi"/>
          <w:i/>
          <w:sz w:val="22"/>
          <w:szCs w:val="22"/>
        </w:rPr>
        <w:t>The Most Important Thing: Uncommon Sense for the Thoughtful Investor.</w:t>
      </w:r>
      <w:r w:rsidRPr="003B0650">
        <w:rPr>
          <w:rFonts w:asciiTheme="minorHAnsi" w:hAnsiTheme="minorHAnsi"/>
          <w:sz w:val="22"/>
          <w:szCs w:val="22"/>
        </w:rPr>
        <w:t xml:space="preserve"> Howard Marks, Columbia Business School Publishing, 2011.</w:t>
      </w:r>
    </w:p>
    <w:p w:rsidR="00470F9D" w:rsidRPr="003B0650" w:rsidRDefault="00470F9D" w:rsidP="00470F9D">
      <w:pPr>
        <w:pStyle w:val="ListParagraph"/>
        <w:numPr>
          <w:ilvl w:val="0"/>
          <w:numId w:val="2"/>
        </w:numPr>
        <w:contextualSpacing/>
        <w:rPr>
          <w:rFonts w:asciiTheme="minorHAnsi" w:hAnsiTheme="minorHAnsi"/>
          <w:sz w:val="22"/>
          <w:szCs w:val="22"/>
        </w:rPr>
      </w:pPr>
      <w:r w:rsidRPr="003B0650">
        <w:rPr>
          <w:rFonts w:asciiTheme="minorHAnsi" w:hAnsiTheme="minorHAnsi"/>
          <w:i/>
          <w:sz w:val="22"/>
          <w:szCs w:val="22"/>
        </w:rPr>
        <w:t>The Little Book of Behavioral Investing.</w:t>
      </w:r>
      <w:r w:rsidRPr="003B0650">
        <w:rPr>
          <w:rFonts w:asciiTheme="minorHAnsi" w:hAnsiTheme="minorHAnsi"/>
          <w:sz w:val="22"/>
          <w:szCs w:val="22"/>
        </w:rPr>
        <w:t xml:space="preserve"> James </w:t>
      </w:r>
      <w:proofErr w:type="spellStart"/>
      <w:r w:rsidRPr="003B0650">
        <w:rPr>
          <w:rFonts w:asciiTheme="minorHAnsi" w:hAnsiTheme="minorHAnsi"/>
          <w:sz w:val="22"/>
          <w:szCs w:val="22"/>
        </w:rPr>
        <w:t>Montier</w:t>
      </w:r>
      <w:proofErr w:type="spellEnd"/>
      <w:r w:rsidRPr="003B0650">
        <w:rPr>
          <w:rFonts w:asciiTheme="minorHAnsi" w:hAnsiTheme="minorHAnsi"/>
          <w:sz w:val="22"/>
          <w:szCs w:val="22"/>
        </w:rPr>
        <w:t>. John Wiley &amp; Sons, 2010.</w:t>
      </w:r>
    </w:p>
    <w:p w:rsidR="00850D3A" w:rsidRDefault="00470F9D" w:rsidP="00850D3A">
      <w:pPr>
        <w:pStyle w:val="ListParagraph"/>
        <w:numPr>
          <w:ilvl w:val="0"/>
          <w:numId w:val="2"/>
        </w:numPr>
        <w:contextualSpacing/>
        <w:rPr>
          <w:rFonts w:asciiTheme="minorHAnsi" w:hAnsiTheme="minorHAnsi"/>
          <w:sz w:val="22"/>
          <w:szCs w:val="22"/>
        </w:rPr>
      </w:pPr>
      <w:r w:rsidRPr="003B0650">
        <w:rPr>
          <w:rFonts w:asciiTheme="minorHAnsi" w:hAnsiTheme="minorHAnsi"/>
          <w:i/>
          <w:sz w:val="22"/>
          <w:szCs w:val="22"/>
        </w:rPr>
        <w:t>Value Investing: Tools and Techniques for Intelligent Investment.</w:t>
      </w:r>
      <w:r w:rsidRPr="003B0650">
        <w:rPr>
          <w:rFonts w:asciiTheme="minorHAnsi" w:hAnsiTheme="minorHAnsi"/>
          <w:sz w:val="22"/>
          <w:szCs w:val="22"/>
        </w:rPr>
        <w:t xml:space="preserve"> James </w:t>
      </w:r>
      <w:proofErr w:type="spellStart"/>
      <w:r w:rsidRPr="003B0650">
        <w:rPr>
          <w:rFonts w:asciiTheme="minorHAnsi" w:hAnsiTheme="minorHAnsi"/>
          <w:sz w:val="22"/>
          <w:szCs w:val="22"/>
        </w:rPr>
        <w:t>Montier</w:t>
      </w:r>
      <w:proofErr w:type="spellEnd"/>
      <w:r w:rsidRPr="003B0650">
        <w:rPr>
          <w:rFonts w:asciiTheme="minorHAnsi" w:hAnsiTheme="minorHAnsi"/>
          <w:sz w:val="22"/>
          <w:szCs w:val="22"/>
        </w:rPr>
        <w:t>. John Wiley &amp; Sons, 2009.</w:t>
      </w:r>
    </w:p>
    <w:p w:rsidR="00470F9D" w:rsidRPr="00850D3A" w:rsidRDefault="00470F9D" w:rsidP="00850D3A">
      <w:pPr>
        <w:pStyle w:val="ListParagraph"/>
        <w:numPr>
          <w:ilvl w:val="0"/>
          <w:numId w:val="2"/>
        </w:numPr>
        <w:contextualSpacing/>
        <w:rPr>
          <w:rFonts w:asciiTheme="minorHAnsi" w:hAnsiTheme="minorHAnsi"/>
          <w:sz w:val="22"/>
          <w:szCs w:val="22"/>
        </w:rPr>
      </w:pPr>
      <w:r w:rsidRPr="00850D3A">
        <w:rPr>
          <w:rFonts w:asciiTheme="minorHAnsi" w:hAnsiTheme="minorHAnsi"/>
          <w:i/>
          <w:sz w:val="22"/>
          <w:szCs w:val="22"/>
        </w:rPr>
        <w:lastRenderedPageBreak/>
        <w:t xml:space="preserve">Value Investing: A Balanced Approach. </w:t>
      </w:r>
      <w:r w:rsidRPr="00850D3A">
        <w:rPr>
          <w:rFonts w:asciiTheme="minorHAnsi" w:hAnsiTheme="minorHAnsi"/>
          <w:sz w:val="22"/>
          <w:szCs w:val="22"/>
        </w:rPr>
        <w:t>Martin Whitman. Frontiers in Finance Series, John Wiley &amp; Sons, 2000.</w:t>
      </w:r>
    </w:p>
    <w:p w:rsidR="00850D3A" w:rsidRDefault="00850D3A" w:rsidP="00850D3A">
      <w:pPr>
        <w:pStyle w:val="ListParagraph"/>
        <w:contextualSpacing/>
        <w:rPr>
          <w:rFonts w:asciiTheme="minorHAnsi" w:hAnsiTheme="minorHAnsi"/>
          <w:sz w:val="22"/>
          <w:szCs w:val="22"/>
        </w:rPr>
      </w:pPr>
    </w:p>
    <w:p w:rsidR="00470F9D" w:rsidRPr="00850D3A" w:rsidRDefault="00470F9D" w:rsidP="00470F9D">
      <w:pPr>
        <w:rPr>
          <w:rFonts w:asciiTheme="minorHAnsi" w:hAnsiTheme="minorHAnsi"/>
          <w:b/>
          <w:sz w:val="22"/>
          <w:szCs w:val="22"/>
        </w:rPr>
      </w:pPr>
      <w:r w:rsidRPr="00850D3A">
        <w:rPr>
          <w:rFonts w:asciiTheme="minorHAnsi" w:hAnsiTheme="minorHAnsi"/>
          <w:b/>
          <w:sz w:val="22"/>
          <w:szCs w:val="22"/>
        </w:rPr>
        <w:t>REQUIRED PREREQUISITES AND CONNECTION TO THE CORE</w:t>
      </w:r>
    </w:p>
    <w:p w:rsidR="00470F9D" w:rsidRPr="004D1AFC" w:rsidRDefault="00470F9D" w:rsidP="00470F9D">
      <w:pPr>
        <w:rPr>
          <w:rFonts w:asciiTheme="minorHAnsi" w:hAnsiTheme="minorHAnsi"/>
          <w:sz w:val="22"/>
          <w:szCs w:val="22"/>
        </w:rPr>
      </w:pPr>
      <w:r w:rsidRPr="004D1AFC">
        <w:rPr>
          <w:rFonts w:asciiTheme="minorHAnsi" w:hAnsiTheme="minorHAnsi"/>
          <w:sz w:val="22"/>
          <w:szCs w:val="22"/>
        </w:rPr>
        <w:t>Co-requisite: Capital Markets</w:t>
      </w:r>
    </w:p>
    <w:p w:rsidR="00470F9D" w:rsidRPr="004D1AFC" w:rsidRDefault="00470F9D" w:rsidP="00470F9D">
      <w:pPr>
        <w:rPr>
          <w:rFonts w:asciiTheme="minorHAnsi" w:hAnsiTheme="minorHAnsi"/>
          <w:sz w:val="22"/>
          <w:szCs w:val="22"/>
        </w:rPr>
      </w:pPr>
      <w:r w:rsidRPr="004D1AFC">
        <w:rPr>
          <w:rFonts w:asciiTheme="minorHAnsi" w:hAnsiTheme="minorHAnsi"/>
          <w:sz w:val="22"/>
          <w:szCs w:val="22"/>
        </w:rPr>
        <w:t>The learning in this course will utilize, build on and extend concepts covered in the following core courses:</w:t>
      </w:r>
    </w:p>
    <w:tbl>
      <w:tblPr>
        <w:tblStyle w:val="TableGrid"/>
        <w:tblW w:w="0" w:type="auto"/>
        <w:tblLook w:val="04A0" w:firstRow="1" w:lastRow="0" w:firstColumn="1" w:lastColumn="0" w:noHBand="0" w:noVBand="1"/>
      </w:tblPr>
      <w:tblGrid>
        <w:gridCol w:w="2898"/>
        <w:gridCol w:w="6678"/>
      </w:tblGrid>
      <w:tr w:rsidR="00470F9D" w:rsidRPr="00C4036C" w:rsidTr="00EA2564">
        <w:tc>
          <w:tcPr>
            <w:tcW w:w="2898" w:type="dxa"/>
          </w:tcPr>
          <w:p w:rsidR="00470F9D" w:rsidRPr="00C779F7" w:rsidRDefault="00470F9D" w:rsidP="00EA2564">
            <w:pPr>
              <w:rPr>
                <w:rFonts w:asciiTheme="minorHAnsi" w:hAnsiTheme="minorHAnsi"/>
                <w:b/>
              </w:rPr>
            </w:pPr>
            <w:r w:rsidRPr="00C779F7">
              <w:rPr>
                <w:rFonts w:asciiTheme="minorHAnsi" w:hAnsiTheme="minorHAnsi"/>
                <w:b/>
              </w:rPr>
              <w:t>Core Course</w:t>
            </w:r>
          </w:p>
        </w:tc>
        <w:tc>
          <w:tcPr>
            <w:tcW w:w="6678" w:type="dxa"/>
          </w:tcPr>
          <w:p w:rsidR="00470F9D" w:rsidRPr="00C779F7" w:rsidRDefault="00470F9D" w:rsidP="00EA2564">
            <w:pPr>
              <w:rPr>
                <w:rFonts w:asciiTheme="minorHAnsi" w:hAnsiTheme="minorHAnsi"/>
                <w:b/>
              </w:rPr>
            </w:pPr>
            <w:r w:rsidRPr="00C779F7">
              <w:rPr>
                <w:rFonts w:asciiTheme="minorHAnsi" w:hAnsiTheme="minorHAnsi"/>
                <w:b/>
              </w:rPr>
              <w:t>Connection with Core</w:t>
            </w:r>
          </w:p>
        </w:tc>
      </w:tr>
      <w:tr w:rsidR="00470F9D" w:rsidRPr="00C4036C" w:rsidTr="00EA2564">
        <w:tc>
          <w:tcPr>
            <w:tcW w:w="2898" w:type="dxa"/>
          </w:tcPr>
          <w:p w:rsidR="00470F9D" w:rsidRPr="00C779F7" w:rsidRDefault="00470F9D" w:rsidP="00EA2564">
            <w:pPr>
              <w:rPr>
                <w:rFonts w:asciiTheme="minorHAnsi" w:hAnsiTheme="minorHAnsi"/>
              </w:rPr>
            </w:pPr>
            <w:r w:rsidRPr="00C779F7">
              <w:rPr>
                <w:rFonts w:asciiTheme="minorHAnsi" w:hAnsiTheme="minorHAnsi"/>
              </w:rPr>
              <w:t>Corporate Finance</w:t>
            </w:r>
          </w:p>
        </w:tc>
        <w:tc>
          <w:tcPr>
            <w:tcW w:w="6678" w:type="dxa"/>
          </w:tcPr>
          <w:p w:rsidR="00470F9D" w:rsidRPr="00C779F7" w:rsidRDefault="00470F9D" w:rsidP="00470F9D">
            <w:pPr>
              <w:pStyle w:val="ListParagraph"/>
              <w:numPr>
                <w:ilvl w:val="0"/>
                <w:numId w:val="3"/>
              </w:numPr>
              <w:contextualSpacing/>
              <w:rPr>
                <w:rFonts w:asciiTheme="minorHAnsi" w:hAnsiTheme="minorHAnsi"/>
              </w:rPr>
            </w:pPr>
            <w:r w:rsidRPr="00C779F7">
              <w:rPr>
                <w:rFonts w:asciiTheme="minorHAnsi" w:hAnsiTheme="minorHAnsi"/>
              </w:rPr>
              <w:t>Cost of Capital</w:t>
            </w:r>
          </w:p>
          <w:p w:rsidR="00470F9D" w:rsidRPr="00C779F7" w:rsidRDefault="00470F9D" w:rsidP="00470F9D">
            <w:pPr>
              <w:pStyle w:val="ListParagraph"/>
              <w:numPr>
                <w:ilvl w:val="0"/>
                <w:numId w:val="3"/>
              </w:numPr>
              <w:contextualSpacing/>
              <w:rPr>
                <w:rFonts w:asciiTheme="minorHAnsi" w:hAnsiTheme="minorHAnsi"/>
              </w:rPr>
            </w:pPr>
            <w:r w:rsidRPr="00C779F7">
              <w:rPr>
                <w:rFonts w:asciiTheme="minorHAnsi" w:hAnsiTheme="minorHAnsi"/>
              </w:rPr>
              <w:t>Valuation</w:t>
            </w:r>
          </w:p>
          <w:p w:rsidR="00470F9D" w:rsidRPr="00C779F7" w:rsidRDefault="00470F9D" w:rsidP="00470F9D">
            <w:pPr>
              <w:pStyle w:val="ListParagraph"/>
              <w:numPr>
                <w:ilvl w:val="0"/>
                <w:numId w:val="3"/>
              </w:numPr>
              <w:contextualSpacing/>
              <w:rPr>
                <w:rFonts w:asciiTheme="minorHAnsi" w:hAnsiTheme="minorHAnsi"/>
              </w:rPr>
            </w:pPr>
            <w:r w:rsidRPr="00C779F7">
              <w:rPr>
                <w:rFonts w:asciiTheme="minorHAnsi" w:hAnsiTheme="minorHAnsi"/>
              </w:rPr>
              <w:t>Financing Options</w:t>
            </w:r>
          </w:p>
          <w:p w:rsidR="00470F9D" w:rsidRPr="00C779F7" w:rsidRDefault="00470F9D" w:rsidP="00470F9D">
            <w:pPr>
              <w:pStyle w:val="ListParagraph"/>
              <w:numPr>
                <w:ilvl w:val="0"/>
                <w:numId w:val="3"/>
              </w:numPr>
              <w:contextualSpacing/>
              <w:rPr>
                <w:rFonts w:asciiTheme="minorHAnsi" w:hAnsiTheme="minorHAnsi"/>
              </w:rPr>
            </w:pPr>
            <w:r w:rsidRPr="00C779F7">
              <w:rPr>
                <w:rFonts w:asciiTheme="minorHAnsi" w:hAnsiTheme="minorHAnsi"/>
              </w:rPr>
              <w:t>Time value of money</w:t>
            </w:r>
          </w:p>
          <w:p w:rsidR="00470F9D" w:rsidRPr="00C779F7" w:rsidRDefault="00470F9D" w:rsidP="00470F9D">
            <w:pPr>
              <w:pStyle w:val="ListParagraph"/>
              <w:numPr>
                <w:ilvl w:val="0"/>
                <w:numId w:val="3"/>
              </w:numPr>
              <w:contextualSpacing/>
              <w:rPr>
                <w:rFonts w:asciiTheme="minorHAnsi" w:hAnsiTheme="minorHAnsi"/>
              </w:rPr>
            </w:pPr>
            <w:r w:rsidRPr="00C779F7">
              <w:rPr>
                <w:rFonts w:asciiTheme="minorHAnsi" w:hAnsiTheme="minorHAnsi"/>
              </w:rPr>
              <w:t>Opportunity cost (of capital)</w:t>
            </w:r>
          </w:p>
          <w:p w:rsidR="00470F9D" w:rsidRPr="00C779F7" w:rsidRDefault="00470F9D" w:rsidP="00470F9D">
            <w:pPr>
              <w:pStyle w:val="ListParagraph"/>
              <w:numPr>
                <w:ilvl w:val="0"/>
                <w:numId w:val="3"/>
              </w:numPr>
              <w:contextualSpacing/>
              <w:rPr>
                <w:rFonts w:asciiTheme="minorHAnsi" w:hAnsiTheme="minorHAnsi"/>
              </w:rPr>
            </w:pPr>
            <w:r w:rsidRPr="00C779F7">
              <w:rPr>
                <w:rFonts w:asciiTheme="minorHAnsi" w:hAnsiTheme="minorHAnsi"/>
              </w:rPr>
              <w:t>The Capital Asset Pricing Model (CAPM)</w:t>
            </w:r>
          </w:p>
          <w:p w:rsidR="00470F9D" w:rsidRPr="00C779F7" w:rsidRDefault="00470F9D" w:rsidP="00470F9D">
            <w:pPr>
              <w:pStyle w:val="ListParagraph"/>
              <w:numPr>
                <w:ilvl w:val="0"/>
                <w:numId w:val="3"/>
              </w:numPr>
              <w:contextualSpacing/>
              <w:rPr>
                <w:rFonts w:asciiTheme="minorHAnsi" w:hAnsiTheme="minorHAnsi"/>
              </w:rPr>
            </w:pPr>
            <w:r w:rsidRPr="00C779F7">
              <w:rPr>
                <w:rFonts w:asciiTheme="minorHAnsi" w:hAnsiTheme="minorHAnsi"/>
              </w:rPr>
              <w:t>Firm Valuation Model</w:t>
            </w:r>
          </w:p>
        </w:tc>
      </w:tr>
      <w:tr w:rsidR="00470F9D" w:rsidRPr="00C4036C" w:rsidTr="00EA2564">
        <w:tc>
          <w:tcPr>
            <w:tcW w:w="2898" w:type="dxa"/>
          </w:tcPr>
          <w:p w:rsidR="00470F9D" w:rsidRPr="00C779F7" w:rsidRDefault="00470F9D" w:rsidP="00EA2564">
            <w:pPr>
              <w:rPr>
                <w:rFonts w:asciiTheme="minorHAnsi" w:hAnsiTheme="minorHAnsi"/>
              </w:rPr>
            </w:pPr>
            <w:r w:rsidRPr="00C779F7">
              <w:rPr>
                <w:rFonts w:asciiTheme="minorHAnsi" w:hAnsiTheme="minorHAnsi"/>
              </w:rPr>
              <w:t>Financial Accounting</w:t>
            </w:r>
          </w:p>
        </w:tc>
        <w:tc>
          <w:tcPr>
            <w:tcW w:w="6678" w:type="dxa"/>
          </w:tcPr>
          <w:p w:rsidR="00470F9D" w:rsidRPr="00C779F7" w:rsidRDefault="00470F9D" w:rsidP="00470F9D">
            <w:pPr>
              <w:pStyle w:val="ListParagraph"/>
              <w:numPr>
                <w:ilvl w:val="0"/>
                <w:numId w:val="4"/>
              </w:numPr>
              <w:contextualSpacing/>
              <w:rPr>
                <w:rFonts w:asciiTheme="minorHAnsi" w:hAnsiTheme="minorHAnsi"/>
              </w:rPr>
            </w:pPr>
            <w:r w:rsidRPr="00C779F7">
              <w:rPr>
                <w:rFonts w:asciiTheme="minorHAnsi" w:hAnsiTheme="minorHAnsi"/>
              </w:rPr>
              <w:t>The “accounting equation”</w:t>
            </w:r>
          </w:p>
          <w:p w:rsidR="00470F9D" w:rsidRPr="00C779F7" w:rsidRDefault="00470F9D" w:rsidP="00470F9D">
            <w:pPr>
              <w:pStyle w:val="ListParagraph"/>
              <w:numPr>
                <w:ilvl w:val="0"/>
                <w:numId w:val="4"/>
              </w:numPr>
              <w:contextualSpacing/>
              <w:rPr>
                <w:rFonts w:asciiTheme="minorHAnsi" w:hAnsiTheme="minorHAnsi"/>
              </w:rPr>
            </w:pPr>
            <w:r w:rsidRPr="00C779F7">
              <w:rPr>
                <w:rFonts w:asciiTheme="minorHAnsi" w:hAnsiTheme="minorHAnsi"/>
              </w:rPr>
              <w:t>Revenue and expense recognition</w:t>
            </w:r>
          </w:p>
          <w:p w:rsidR="00470F9D" w:rsidRPr="00C779F7" w:rsidRDefault="00470F9D" w:rsidP="00470F9D">
            <w:pPr>
              <w:pStyle w:val="ListParagraph"/>
              <w:numPr>
                <w:ilvl w:val="0"/>
                <w:numId w:val="4"/>
              </w:numPr>
              <w:contextualSpacing/>
              <w:rPr>
                <w:rFonts w:asciiTheme="minorHAnsi" w:hAnsiTheme="minorHAnsi"/>
              </w:rPr>
            </w:pPr>
            <w:r w:rsidRPr="00C779F7">
              <w:rPr>
                <w:rFonts w:asciiTheme="minorHAnsi" w:hAnsiTheme="minorHAnsi"/>
              </w:rPr>
              <w:t>Resources and obligations – measurement and disclosure</w:t>
            </w:r>
          </w:p>
        </w:tc>
      </w:tr>
      <w:tr w:rsidR="00470F9D" w:rsidRPr="00C4036C" w:rsidTr="00EA2564">
        <w:tc>
          <w:tcPr>
            <w:tcW w:w="2898" w:type="dxa"/>
          </w:tcPr>
          <w:p w:rsidR="00470F9D" w:rsidRPr="00C779F7" w:rsidRDefault="00470F9D" w:rsidP="00EA2564">
            <w:pPr>
              <w:rPr>
                <w:rFonts w:asciiTheme="minorHAnsi" w:hAnsiTheme="minorHAnsi"/>
              </w:rPr>
            </w:pPr>
            <w:r w:rsidRPr="00C779F7">
              <w:rPr>
                <w:rFonts w:asciiTheme="minorHAnsi" w:hAnsiTheme="minorHAnsi"/>
              </w:rPr>
              <w:t>Global Economic Environment</w:t>
            </w:r>
          </w:p>
        </w:tc>
        <w:tc>
          <w:tcPr>
            <w:tcW w:w="6678" w:type="dxa"/>
          </w:tcPr>
          <w:p w:rsidR="00470F9D" w:rsidRPr="00C779F7" w:rsidRDefault="00470F9D" w:rsidP="00470F9D">
            <w:pPr>
              <w:pStyle w:val="ListParagraph"/>
              <w:numPr>
                <w:ilvl w:val="0"/>
                <w:numId w:val="5"/>
              </w:numPr>
              <w:contextualSpacing/>
              <w:rPr>
                <w:rFonts w:asciiTheme="minorHAnsi" w:hAnsiTheme="minorHAnsi"/>
              </w:rPr>
            </w:pPr>
            <w:r w:rsidRPr="00C779F7">
              <w:rPr>
                <w:rFonts w:asciiTheme="minorHAnsi" w:hAnsiTheme="minorHAnsi"/>
              </w:rPr>
              <w:t>Risk Management</w:t>
            </w:r>
          </w:p>
          <w:p w:rsidR="00470F9D" w:rsidRPr="00C779F7" w:rsidRDefault="00470F9D" w:rsidP="00470F9D">
            <w:pPr>
              <w:pStyle w:val="ListParagraph"/>
              <w:numPr>
                <w:ilvl w:val="0"/>
                <w:numId w:val="5"/>
              </w:numPr>
              <w:contextualSpacing/>
              <w:rPr>
                <w:rFonts w:asciiTheme="minorHAnsi" w:hAnsiTheme="minorHAnsi"/>
              </w:rPr>
            </w:pPr>
            <w:r w:rsidRPr="00C779F7">
              <w:rPr>
                <w:rFonts w:asciiTheme="minorHAnsi" w:hAnsiTheme="minorHAnsi"/>
              </w:rPr>
              <w:t>What is Gross Domestic Product and how is it measured?</w:t>
            </w:r>
          </w:p>
          <w:p w:rsidR="00470F9D" w:rsidRPr="00C779F7" w:rsidRDefault="00470F9D" w:rsidP="00470F9D">
            <w:pPr>
              <w:pStyle w:val="ListParagraph"/>
              <w:numPr>
                <w:ilvl w:val="0"/>
                <w:numId w:val="5"/>
              </w:numPr>
              <w:contextualSpacing/>
              <w:rPr>
                <w:rFonts w:asciiTheme="minorHAnsi" w:hAnsiTheme="minorHAnsi"/>
              </w:rPr>
            </w:pPr>
            <w:r w:rsidRPr="00C779F7">
              <w:rPr>
                <w:rFonts w:asciiTheme="minorHAnsi" w:hAnsiTheme="minorHAnsi"/>
              </w:rPr>
              <w:t>What causes inflation?</w:t>
            </w:r>
          </w:p>
          <w:p w:rsidR="00470F9D" w:rsidRPr="00C779F7" w:rsidRDefault="00470F9D" w:rsidP="00470F9D">
            <w:pPr>
              <w:pStyle w:val="ListParagraph"/>
              <w:numPr>
                <w:ilvl w:val="0"/>
                <w:numId w:val="5"/>
              </w:numPr>
              <w:contextualSpacing/>
              <w:rPr>
                <w:rFonts w:asciiTheme="minorHAnsi" w:hAnsiTheme="minorHAnsi"/>
              </w:rPr>
            </w:pPr>
            <w:r w:rsidRPr="00C779F7">
              <w:rPr>
                <w:rFonts w:asciiTheme="minorHAnsi" w:hAnsiTheme="minorHAnsi"/>
              </w:rPr>
              <w:t>What causes changes in exchange rates?</w:t>
            </w:r>
          </w:p>
          <w:p w:rsidR="00470F9D" w:rsidRPr="00C779F7" w:rsidRDefault="00470F9D" w:rsidP="00470F9D">
            <w:pPr>
              <w:pStyle w:val="ListParagraph"/>
              <w:numPr>
                <w:ilvl w:val="0"/>
                <w:numId w:val="5"/>
              </w:numPr>
              <w:contextualSpacing/>
              <w:rPr>
                <w:rFonts w:asciiTheme="minorHAnsi" w:hAnsiTheme="minorHAnsi"/>
              </w:rPr>
            </w:pPr>
            <w:r w:rsidRPr="00C779F7">
              <w:rPr>
                <w:rFonts w:asciiTheme="minorHAnsi" w:hAnsiTheme="minorHAnsi"/>
              </w:rPr>
              <w:t>What are the causes of business cycles?</w:t>
            </w:r>
          </w:p>
          <w:p w:rsidR="00470F9D" w:rsidRPr="00C779F7" w:rsidRDefault="00470F9D" w:rsidP="00470F9D">
            <w:pPr>
              <w:pStyle w:val="ListParagraph"/>
              <w:numPr>
                <w:ilvl w:val="0"/>
                <w:numId w:val="5"/>
              </w:numPr>
              <w:contextualSpacing/>
              <w:rPr>
                <w:rFonts w:asciiTheme="minorHAnsi" w:hAnsiTheme="minorHAnsi"/>
              </w:rPr>
            </w:pPr>
            <w:r w:rsidRPr="00C779F7">
              <w:rPr>
                <w:rFonts w:asciiTheme="minorHAnsi" w:hAnsiTheme="minorHAnsi"/>
              </w:rPr>
              <w:t>What are the effects of monetary policy?</w:t>
            </w:r>
          </w:p>
          <w:p w:rsidR="00470F9D" w:rsidRPr="00C779F7" w:rsidRDefault="00470F9D" w:rsidP="00470F9D">
            <w:pPr>
              <w:pStyle w:val="ListParagraph"/>
              <w:numPr>
                <w:ilvl w:val="0"/>
                <w:numId w:val="5"/>
              </w:numPr>
              <w:contextualSpacing/>
              <w:rPr>
                <w:rFonts w:asciiTheme="minorHAnsi" w:hAnsiTheme="minorHAnsi"/>
              </w:rPr>
            </w:pPr>
            <w:r w:rsidRPr="00C779F7">
              <w:rPr>
                <w:rFonts w:asciiTheme="minorHAnsi" w:hAnsiTheme="minorHAnsi"/>
              </w:rPr>
              <w:t>What are the effects of fiscal policy?</w:t>
            </w:r>
          </w:p>
          <w:p w:rsidR="00470F9D" w:rsidRPr="00C779F7" w:rsidRDefault="00470F9D" w:rsidP="00470F9D">
            <w:pPr>
              <w:pStyle w:val="ListParagraph"/>
              <w:numPr>
                <w:ilvl w:val="0"/>
                <w:numId w:val="5"/>
              </w:numPr>
              <w:contextualSpacing/>
              <w:rPr>
                <w:rFonts w:asciiTheme="minorHAnsi" w:hAnsiTheme="minorHAnsi"/>
              </w:rPr>
            </w:pPr>
            <w:r w:rsidRPr="00C779F7">
              <w:rPr>
                <w:rFonts w:asciiTheme="minorHAnsi" w:hAnsiTheme="minorHAnsi"/>
              </w:rPr>
              <w:t>What is the role of financial markets in the economy?</w:t>
            </w:r>
          </w:p>
        </w:tc>
      </w:tr>
      <w:tr w:rsidR="00470F9D" w:rsidRPr="00C4036C" w:rsidTr="00EA2564">
        <w:tc>
          <w:tcPr>
            <w:tcW w:w="2898" w:type="dxa"/>
          </w:tcPr>
          <w:p w:rsidR="00470F9D" w:rsidRPr="00C779F7" w:rsidRDefault="00470F9D" w:rsidP="00EA2564">
            <w:pPr>
              <w:rPr>
                <w:rFonts w:asciiTheme="minorHAnsi" w:hAnsiTheme="minorHAnsi"/>
              </w:rPr>
            </w:pPr>
            <w:r w:rsidRPr="00C779F7">
              <w:rPr>
                <w:rFonts w:asciiTheme="minorHAnsi" w:hAnsiTheme="minorHAnsi"/>
              </w:rPr>
              <w:t>Managerial Economics</w:t>
            </w:r>
          </w:p>
        </w:tc>
        <w:tc>
          <w:tcPr>
            <w:tcW w:w="6678" w:type="dxa"/>
          </w:tcPr>
          <w:p w:rsidR="00470F9D" w:rsidRPr="00C779F7" w:rsidRDefault="00470F9D" w:rsidP="00470F9D">
            <w:pPr>
              <w:pStyle w:val="ListParagraph"/>
              <w:numPr>
                <w:ilvl w:val="0"/>
                <w:numId w:val="6"/>
              </w:numPr>
              <w:contextualSpacing/>
              <w:rPr>
                <w:rFonts w:asciiTheme="minorHAnsi" w:hAnsiTheme="minorHAnsi"/>
              </w:rPr>
            </w:pPr>
            <w:r w:rsidRPr="00C779F7">
              <w:rPr>
                <w:rFonts w:asciiTheme="minorHAnsi" w:hAnsiTheme="minorHAnsi"/>
              </w:rPr>
              <w:t xml:space="preserve">Barriers to entry </w:t>
            </w:r>
          </w:p>
          <w:p w:rsidR="00470F9D" w:rsidRPr="00C779F7" w:rsidRDefault="00470F9D" w:rsidP="00470F9D">
            <w:pPr>
              <w:pStyle w:val="ListParagraph"/>
              <w:numPr>
                <w:ilvl w:val="0"/>
                <w:numId w:val="6"/>
              </w:numPr>
              <w:contextualSpacing/>
              <w:rPr>
                <w:rFonts w:asciiTheme="minorHAnsi" w:hAnsiTheme="minorHAnsi"/>
              </w:rPr>
            </w:pPr>
            <w:r w:rsidRPr="00C779F7">
              <w:rPr>
                <w:rFonts w:asciiTheme="minorHAnsi" w:hAnsiTheme="minorHAnsi"/>
              </w:rPr>
              <w:t xml:space="preserve">Moats </w:t>
            </w:r>
          </w:p>
          <w:p w:rsidR="00470F9D" w:rsidRPr="00C779F7" w:rsidRDefault="00470F9D" w:rsidP="00470F9D">
            <w:pPr>
              <w:pStyle w:val="ListParagraph"/>
              <w:numPr>
                <w:ilvl w:val="0"/>
                <w:numId w:val="6"/>
              </w:numPr>
              <w:contextualSpacing/>
              <w:rPr>
                <w:rFonts w:asciiTheme="minorHAnsi" w:hAnsiTheme="minorHAnsi"/>
              </w:rPr>
            </w:pPr>
            <w:r w:rsidRPr="00C779F7">
              <w:rPr>
                <w:rFonts w:asciiTheme="minorHAnsi" w:hAnsiTheme="minorHAnsi"/>
              </w:rPr>
              <w:t>Maximization and thinking on the margin</w:t>
            </w:r>
          </w:p>
          <w:p w:rsidR="00470F9D" w:rsidRPr="00C779F7" w:rsidRDefault="00470F9D" w:rsidP="00470F9D">
            <w:pPr>
              <w:pStyle w:val="ListParagraph"/>
              <w:numPr>
                <w:ilvl w:val="0"/>
                <w:numId w:val="6"/>
              </w:numPr>
              <w:contextualSpacing/>
              <w:rPr>
                <w:rFonts w:asciiTheme="minorHAnsi" w:hAnsiTheme="minorHAnsi"/>
              </w:rPr>
            </w:pPr>
            <w:r w:rsidRPr="00C779F7">
              <w:rPr>
                <w:rFonts w:asciiTheme="minorHAnsi" w:hAnsiTheme="minorHAnsi"/>
              </w:rPr>
              <w:t>Analyzing complex decision-making under uncertainty</w:t>
            </w:r>
          </w:p>
          <w:p w:rsidR="00470F9D" w:rsidRPr="00C779F7" w:rsidRDefault="00470F9D" w:rsidP="00470F9D">
            <w:pPr>
              <w:pStyle w:val="ListParagraph"/>
              <w:numPr>
                <w:ilvl w:val="0"/>
                <w:numId w:val="6"/>
              </w:numPr>
              <w:contextualSpacing/>
              <w:rPr>
                <w:rFonts w:asciiTheme="minorHAnsi" w:hAnsiTheme="minorHAnsi"/>
              </w:rPr>
            </w:pPr>
            <w:r w:rsidRPr="00C779F7">
              <w:rPr>
                <w:rFonts w:asciiTheme="minorHAnsi" w:hAnsiTheme="minorHAnsi"/>
              </w:rPr>
              <w:t>Decision-based cost analysis</w:t>
            </w:r>
          </w:p>
          <w:p w:rsidR="00470F9D" w:rsidRPr="00C779F7" w:rsidRDefault="00470F9D" w:rsidP="00470F9D">
            <w:pPr>
              <w:pStyle w:val="ListParagraph"/>
              <w:numPr>
                <w:ilvl w:val="0"/>
                <w:numId w:val="6"/>
              </w:numPr>
              <w:contextualSpacing/>
              <w:rPr>
                <w:rFonts w:asciiTheme="minorHAnsi" w:hAnsiTheme="minorHAnsi"/>
              </w:rPr>
            </w:pPr>
            <w:r w:rsidRPr="00C779F7">
              <w:rPr>
                <w:rFonts w:asciiTheme="minorHAnsi" w:hAnsiTheme="minorHAnsi"/>
              </w:rPr>
              <w:t>Pricing with market power</w:t>
            </w:r>
          </w:p>
          <w:p w:rsidR="00470F9D" w:rsidRPr="00C779F7" w:rsidRDefault="00470F9D" w:rsidP="00470F9D">
            <w:pPr>
              <w:pStyle w:val="ListParagraph"/>
              <w:numPr>
                <w:ilvl w:val="0"/>
                <w:numId w:val="6"/>
              </w:numPr>
              <w:contextualSpacing/>
              <w:rPr>
                <w:rFonts w:asciiTheme="minorHAnsi" w:hAnsiTheme="minorHAnsi"/>
              </w:rPr>
            </w:pPr>
            <w:r w:rsidRPr="00C779F7">
              <w:rPr>
                <w:rFonts w:asciiTheme="minorHAnsi" w:hAnsiTheme="minorHAnsi"/>
              </w:rPr>
              <w:t>Market segmentation and other advanced pricing strategies</w:t>
            </w:r>
          </w:p>
          <w:p w:rsidR="00470F9D" w:rsidRPr="00C779F7" w:rsidRDefault="00470F9D" w:rsidP="00470F9D">
            <w:pPr>
              <w:pStyle w:val="ListParagraph"/>
              <w:numPr>
                <w:ilvl w:val="0"/>
                <w:numId w:val="6"/>
              </w:numPr>
              <w:contextualSpacing/>
              <w:rPr>
                <w:rFonts w:asciiTheme="minorHAnsi" w:hAnsiTheme="minorHAnsi"/>
              </w:rPr>
            </w:pPr>
            <w:r w:rsidRPr="00C779F7">
              <w:rPr>
                <w:rFonts w:asciiTheme="minorHAnsi" w:hAnsiTheme="minorHAnsi"/>
              </w:rPr>
              <w:t>Understanding market competition and equilibrium thinking (in the short-run)</w:t>
            </w:r>
          </w:p>
          <w:p w:rsidR="00470F9D" w:rsidRPr="00C779F7" w:rsidRDefault="00470F9D" w:rsidP="00470F9D">
            <w:pPr>
              <w:pStyle w:val="ListParagraph"/>
              <w:numPr>
                <w:ilvl w:val="0"/>
                <w:numId w:val="6"/>
              </w:numPr>
              <w:contextualSpacing/>
              <w:rPr>
                <w:rFonts w:asciiTheme="minorHAnsi" w:hAnsiTheme="minorHAnsi"/>
              </w:rPr>
            </w:pPr>
            <w:r w:rsidRPr="00C779F7">
              <w:rPr>
                <w:rFonts w:asciiTheme="minorHAnsi" w:hAnsiTheme="minorHAnsi"/>
              </w:rPr>
              <w:t>Market equilibrium thinking (in the long-run) and barriers to entry</w:t>
            </w:r>
          </w:p>
          <w:p w:rsidR="00470F9D" w:rsidRPr="00C779F7" w:rsidRDefault="00470F9D" w:rsidP="00470F9D">
            <w:pPr>
              <w:pStyle w:val="ListParagraph"/>
              <w:numPr>
                <w:ilvl w:val="0"/>
                <w:numId w:val="6"/>
              </w:numPr>
              <w:contextualSpacing/>
              <w:rPr>
                <w:rFonts w:asciiTheme="minorHAnsi" w:hAnsiTheme="minorHAnsi"/>
              </w:rPr>
            </w:pPr>
            <w:r w:rsidRPr="00C779F7">
              <w:rPr>
                <w:rFonts w:asciiTheme="minorHAnsi" w:hAnsiTheme="minorHAnsi"/>
              </w:rPr>
              <w:t>Strategic interaction among firms and Nash equilibrium</w:t>
            </w:r>
          </w:p>
        </w:tc>
      </w:tr>
      <w:tr w:rsidR="00470F9D" w:rsidRPr="00C4036C" w:rsidTr="00EA2564">
        <w:tc>
          <w:tcPr>
            <w:tcW w:w="2898" w:type="dxa"/>
          </w:tcPr>
          <w:p w:rsidR="00470F9D" w:rsidRPr="00C779F7" w:rsidRDefault="00470F9D" w:rsidP="00EA2564">
            <w:pPr>
              <w:rPr>
                <w:rFonts w:asciiTheme="minorHAnsi" w:hAnsiTheme="minorHAnsi"/>
              </w:rPr>
            </w:pPr>
            <w:r w:rsidRPr="00C779F7">
              <w:rPr>
                <w:rFonts w:asciiTheme="minorHAnsi" w:hAnsiTheme="minorHAnsi"/>
              </w:rPr>
              <w:t>Strategy Formulation</w:t>
            </w:r>
          </w:p>
        </w:tc>
        <w:tc>
          <w:tcPr>
            <w:tcW w:w="6678" w:type="dxa"/>
          </w:tcPr>
          <w:p w:rsidR="00470F9D" w:rsidRPr="00C779F7" w:rsidRDefault="00470F9D" w:rsidP="00470F9D">
            <w:pPr>
              <w:pStyle w:val="ListParagraph"/>
              <w:numPr>
                <w:ilvl w:val="0"/>
                <w:numId w:val="7"/>
              </w:numPr>
              <w:ind w:left="342" w:hanging="342"/>
              <w:contextualSpacing/>
              <w:rPr>
                <w:rFonts w:asciiTheme="minorHAnsi" w:hAnsiTheme="minorHAnsi"/>
              </w:rPr>
            </w:pPr>
            <w:r w:rsidRPr="00C779F7">
              <w:rPr>
                <w:rFonts w:asciiTheme="minorHAnsi" w:hAnsiTheme="minorHAnsi"/>
              </w:rPr>
              <w:t>Trade-offs, value-added, efficiencies</w:t>
            </w:r>
          </w:p>
          <w:p w:rsidR="00470F9D" w:rsidRPr="00C779F7" w:rsidRDefault="00470F9D" w:rsidP="00470F9D">
            <w:pPr>
              <w:pStyle w:val="ListParagraph"/>
              <w:numPr>
                <w:ilvl w:val="0"/>
                <w:numId w:val="7"/>
              </w:numPr>
              <w:ind w:left="342" w:hanging="342"/>
              <w:contextualSpacing/>
              <w:rPr>
                <w:rFonts w:asciiTheme="minorHAnsi" w:hAnsiTheme="minorHAnsi"/>
              </w:rPr>
            </w:pPr>
            <w:r w:rsidRPr="00C779F7">
              <w:rPr>
                <w:rFonts w:asciiTheme="minorHAnsi" w:hAnsiTheme="minorHAnsi"/>
              </w:rPr>
              <w:t>Creation of value vs. value capture</w:t>
            </w:r>
          </w:p>
          <w:p w:rsidR="00470F9D" w:rsidRPr="00C779F7" w:rsidRDefault="00470F9D" w:rsidP="00470F9D">
            <w:pPr>
              <w:pStyle w:val="ListParagraph"/>
              <w:numPr>
                <w:ilvl w:val="0"/>
                <w:numId w:val="7"/>
              </w:numPr>
              <w:ind w:left="342" w:hanging="342"/>
              <w:contextualSpacing/>
              <w:rPr>
                <w:rFonts w:asciiTheme="minorHAnsi" w:hAnsiTheme="minorHAnsi"/>
              </w:rPr>
            </w:pPr>
            <w:r w:rsidRPr="00C779F7">
              <w:rPr>
                <w:rFonts w:asciiTheme="minorHAnsi" w:hAnsiTheme="minorHAnsi"/>
              </w:rPr>
              <w:t>Competing firms</w:t>
            </w:r>
          </w:p>
          <w:p w:rsidR="00470F9D" w:rsidRPr="00C779F7" w:rsidRDefault="00470F9D" w:rsidP="00470F9D">
            <w:pPr>
              <w:pStyle w:val="ListParagraph"/>
              <w:numPr>
                <w:ilvl w:val="0"/>
                <w:numId w:val="7"/>
              </w:numPr>
              <w:ind w:left="342" w:hanging="342"/>
              <w:contextualSpacing/>
              <w:rPr>
                <w:rFonts w:asciiTheme="minorHAnsi" w:hAnsiTheme="minorHAnsi"/>
              </w:rPr>
            </w:pPr>
            <w:r w:rsidRPr="00C779F7">
              <w:rPr>
                <w:rFonts w:asciiTheme="minorHAnsi" w:hAnsiTheme="minorHAnsi"/>
              </w:rPr>
              <w:t>Co-</w:t>
            </w:r>
            <w:proofErr w:type="spellStart"/>
            <w:r w:rsidRPr="00C779F7">
              <w:rPr>
                <w:rFonts w:asciiTheme="minorHAnsi" w:hAnsiTheme="minorHAnsi"/>
              </w:rPr>
              <w:t>optition</w:t>
            </w:r>
            <w:proofErr w:type="spellEnd"/>
            <w:r w:rsidRPr="00C779F7">
              <w:rPr>
                <w:rFonts w:asciiTheme="minorHAnsi" w:hAnsiTheme="minorHAnsi"/>
              </w:rPr>
              <w:t xml:space="preserve"> and </w:t>
            </w:r>
            <w:proofErr w:type="spellStart"/>
            <w:r w:rsidRPr="00C779F7">
              <w:rPr>
                <w:rFonts w:asciiTheme="minorHAnsi" w:hAnsiTheme="minorHAnsi"/>
              </w:rPr>
              <w:t>Complementors</w:t>
            </w:r>
            <w:proofErr w:type="spellEnd"/>
          </w:p>
          <w:p w:rsidR="00470F9D" w:rsidRPr="00C779F7" w:rsidRDefault="00470F9D" w:rsidP="00470F9D">
            <w:pPr>
              <w:pStyle w:val="ListParagraph"/>
              <w:numPr>
                <w:ilvl w:val="0"/>
                <w:numId w:val="7"/>
              </w:numPr>
              <w:ind w:left="342" w:hanging="342"/>
              <w:contextualSpacing/>
              <w:rPr>
                <w:rFonts w:asciiTheme="minorHAnsi" w:hAnsiTheme="minorHAnsi"/>
              </w:rPr>
            </w:pPr>
            <w:r w:rsidRPr="00C779F7">
              <w:rPr>
                <w:rFonts w:asciiTheme="minorHAnsi" w:hAnsiTheme="minorHAnsi"/>
              </w:rPr>
              <w:t>Strategic interaction analysis</w:t>
            </w:r>
          </w:p>
          <w:p w:rsidR="00470F9D" w:rsidRPr="00C779F7" w:rsidRDefault="00470F9D" w:rsidP="00470F9D">
            <w:pPr>
              <w:pStyle w:val="ListParagraph"/>
              <w:numPr>
                <w:ilvl w:val="0"/>
                <w:numId w:val="7"/>
              </w:numPr>
              <w:ind w:left="342" w:hanging="342"/>
              <w:contextualSpacing/>
              <w:rPr>
                <w:rFonts w:asciiTheme="minorHAnsi" w:hAnsiTheme="minorHAnsi"/>
              </w:rPr>
            </w:pPr>
            <w:r w:rsidRPr="00C779F7">
              <w:rPr>
                <w:rFonts w:asciiTheme="minorHAnsi" w:hAnsiTheme="minorHAnsi"/>
              </w:rPr>
              <w:t>Diversification and scope</w:t>
            </w:r>
          </w:p>
          <w:p w:rsidR="00470F9D" w:rsidRPr="00C779F7" w:rsidRDefault="00470F9D" w:rsidP="00470F9D">
            <w:pPr>
              <w:pStyle w:val="ListParagraph"/>
              <w:numPr>
                <w:ilvl w:val="0"/>
                <w:numId w:val="7"/>
              </w:numPr>
              <w:ind w:left="342" w:hanging="342"/>
              <w:contextualSpacing/>
              <w:rPr>
                <w:rFonts w:asciiTheme="minorHAnsi" w:hAnsiTheme="minorHAnsi"/>
              </w:rPr>
            </w:pPr>
            <w:r w:rsidRPr="00C779F7">
              <w:rPr>
                <w:rFonts w:asciiTheme="minorHAnsi" w:hAnsiTheme="minorHAnsi"/>
              </w:rPr>
              <w:lastRenderedPageBreak/>
              <w:t>Ethics &amp; IBS</w:t>
            </w:r>
          </w:p>
          <w:p w:rsidR="00470F9D" w:rsidRPr="00C779F7" w:rsidRDefault="00470F9D" w:rsidP="00470F9D">
            <w:pPr>
              <w:pStyle w:val="ListParagraph"/>
              <w:numPr>
                <w:ilvl w:val="0"/>
                <w:numId w:val="7"/>
              </w:numPr>
              <w:ind w:left="342" w:hanging="342"/>
              <w:contextualSpacing/>
              <w:rPr>
                <w:rFonts w:asciiTheme="minorHAnsi" w:hAnsiTheme="minorHAnsi"/>
              </w:rPr>
            </w:pPr>
            <w:r w:rsidRPr="00C779F7">
              <w:rPr>
                <w:rFonts w:asciiTheme="minorHAnsi" w:hAnsiTheme="minorHAnsi"/>
              </w:rPr>
              <w:t>Behavioral and evidence-based strategy</w:t>
            </w:r>
          </w:p>
          <w:p w:rsidR="00470F9D" w:rsidRPr="00C779F7" w:rsidRDefault="00470F9D" w:rsidP="00470F9D">
            <w:pPr>
              <w:pStyle w:val="ListParagraph"/>
              <w:numPr>
                <w:ilvl w:val="0"/>
                <w:numId w:val="7"/>
              </w:numPr>
              <w:ind w:left="342" w:hanging="342"/>
              <w:contextualSpacing/>
              <w:rPr>
                <w:rFonts w:asciiTheme="minorHAnsi" w:hAnsiTheme="minorHAnsi"/>
              </w:rPr>
            </w:pPr>
            <w:r w:rsidRPr="00C779F7">
              <w:rPr>
                <w:rFonts w:asciiTheme="minorHAnsi" w:hAnsiTheme="minorHAnsi"/>
              </w:rPr>
              <w:t>Management</w:t>
            </w:r>
          </w:p>
        </w:tc>
      </w:tr>
    </w:tbl>
    <w:p w:rsidR="00470F9D" w:rsidRPr="004A6B45" w:rsidRDefault="00470F9D" w:rsidP="00470F9D">
      <w:pPr>
        <w:rPr>
          <w:rFonts w:asciiTheme="minorHAnsi" w:hAnsiTheme="minorHAnsi"/>
          <w:sz w:val="22"/>
          <w:szCs w:val="22"/>
        </w:rPr>
      </w:pPr>
      <w:r w:rsidRPr="004A6B45">
        <w:rPr>
          <w:rFonts w:asciiTheme="minorHAnsi" w:hAnsiTheme="minorHAnsi"/>
          <w:sz w:val="22"/>
          <w:szCs w:val="22"/>
        </w:rPr>
        <w:lastRenderedPageBreak/>
        <w:t>Students will be expected to have mastered these concepts and be able to apply them in the course.</w:t>
      </w:r>
    </w:p>
    <w:p w:rsidR="00470F9D" w:rsidRDefault="00470F9D" w:rsidP="00470F9D">
      <w:pPr>
        <w:contextualSpacing/>
        <w:rPr>
          <w:rFonts w:asciiTheme="minorHAnsi" w:hAnsiTheme="minorHAnsi"/>
          <w:sz w:val="22"/>
          <w:szCs w:val="22"/>
        </w:rPr>
      </w:pPr>
    </w:p>
    <w:p w:rsidR="00C779F7" w:rsidRPr="004A6B45" w:rsidRDefault="00C779F7" w:rsidP="00470F9D">
      <w:pPr>
        <w:contextualSpacing/>
        <w:rPr>
          <w:rFonts w:asciiTheme="minorHAnsi" w:hAnsiTheme="minorHAnsi"/>
          <w:sz w:val="22"/>
          <w:szCs w:val="22"/>
        </w:rPr>
      </w:pPr>
    </w:p>
    <w:p w:rsidR="00470F9D" w:rsidRPr="00850D3A" w:rsidRDefault="00850D3A" w:rsidP="00470F9D">
      <w:pPr>
        <w:pStyle w:val="Default"/>
        <w:rPr>
          <w:rFonts w:asciiTheme="minorHAnsi" w:hAnsiTheme="minorHAnsi"/>
          <w:b/>
          <w:color w:val="auto"/>
          <w:sz w:val="22"/>
          <w:szCs w:val="22"/>
        </w:rPr>
      </w:pPr>
      <w:r w:rsidRPr="00850D3A">
        <w:rPr>
          <w:rFonts w:asciiTheme="minorHAnsi" w:hAnsiTheme="minorHAnsi"/>
          <w:b/>
          <w:color w:val="auto"/>
          <w:sz w:val="22"/>
          <w:szCs w:val="22"/>
        </w:rPr>
        <w:t>COURSE DESCRIPTION AND OBJECTIVES</w:t>
      </w:r>
    </w:p>
    <w:p w:rsidR="00470F9D" w:rsidRPr="004A6B45" w:rsidRDefault="00C779F7" w:rsidP="00470F9D">
      <w:pPr>
        <w:pStyle w:val="Default"/>
        <w:spacing w:before="100" w:after="100"/>
        <w:rPr>
          <w:rFonts w:asciiTheme="minorHAnsi" w:eastAsia="Arial Unicode MS" w:hAnsiTheme="minorHAnsi"/>
          <w:color w:val="auto"/>
          <w:sz w:val="22"/>
          <w:szCs w:val="22"/>
        </w:rPr>
      </w:pPr>
      <w:r>
        <w:rPr>
          <w:rFonts w:asciiTheme="minorHAnsi" w:hAnsiTheme="minorHAnsi" w:cs="Arial"/>
          <w:sz w:val="22"/>
          <w:szCs w:val="22"/>
        </w:rPr>
        <w:t>This class combines B8377-001</w:t>
      </w:r>
      <w:r w:rsidR="00470F9D" w:rsidRPr="00AF48D9">
        <w:rPr>
          <w:rFonts w:asciiTheme="minorHAnsi" w:hAnsiTheme="minorHAnsi" w:cs="Arial"/>
          <w:sz w:val="22"/>
          <w:szCs w:val="22"/>
        </w:rPr>
        <w:t xml:space="preserve"> Value Investing in Term A with the Value Investing with Legends lecture series in Term B. Term A is intended to teach students the fundamentals of the value approach to investment management developed by Graham and Dodd. This will be done through a combination of formal lectures, cases and in-class valuation discussions. The substantive areas covered will include (1) the fundamental assumptions and approaches to value investing, (2) techniques for assessing fundamental value – balance sheet and earnings power approaches, (3) structuring value-based portfolios to control risk and (4) designing strategies for searching efficiently for value investing opportunities. The second half of the semester (Term B) is intended to expose students to the practical implementation of Graham and Dodd investing principles. Through presentations by leading value investors, students will learn how individuals develop an investment process to suit their personality and personal biases. Investors will discuss: 1. search strategy, 2. valuation approach, 3. research techniques, and 4. risk management in the context of their own investments.</w:t>
      </w:r>
    </w:p>
    <w:p w:rsidR="00470F9D" w:rsidRDefault="00470F9D" w:rsidP="00470F9D">
      <w:pPr>
        <w:pStyle w:val="Default"/>
        <w:spacing w:before="100" w:after="100"/>
        <w:rPr>
          <w:rFonts w:asciiTheme="minorHAnsi" w:eastAsia="Arial Unicode MS" w:hAnsiTheme="minorHAnsi"/>
          <w:color w:val="auto"/>
          <w:sz w:val="22"/>
          <w:szCs w:val="22"/>
        </w:rPr>
      </w:pPr>
    </w:p>
    <w:p w:rsidR="00470F9D" w:rsidRDefault="00850D3A" w:rsidP="00470F9D">
      <w:pPr>
        <w:pStyle w:val="Default"/>
        <w:spacing w:before="100" w:after="100"/>
        <w:rPr>
          <w:rFonts w:asciiTheme="minorHAnsi" w:eastAsia="Arial Unicode MS" w:hAnsiTheme="minorHAnsi"/>
          <w:b/>
          <w:color w:val="auto"/>
          <w:sz w:val="22"/>
          <w:szCs w:val="22"/>
        </w:rPr>
      </w:pPr>
      <w:r>
        <w:rPr>
          <w:rFonts w:asciiTheme="minorHAnsi" w:eastAsia="Arial Unicode MS" w:hAnsiTheme="minorHAnsi"/>
          <w:b/>
          <w:color w:val="auto"/>
          <w:sz w:val="22"/>
          <w:szCs w:val="22"/>
        </w:rPr>
        <w:t>ASSIGNMENTS</w:t>
      </w:r>
    </w:p>
    <w:tbl>
      <w:tblPr>
        <w:tblW w:w="10340" w:type="dxa"/>
        <w:tblInd w:w="93" w:type="dxa"/>
        <w:tblLook w:val="04A0" w:firstRow="1" w:lastRow="0" w:firstColumn="1" w:lastColumn="0" w:noHBand="0" w:noVBand="1"/>
      </w:tblPr>
      <w:tblGrid>
        <w:gridCol w:w="900"/>
        <w:gridCol w:w="3280"/>
        <w:gridCol w:w="6160"/>
      </w:tblGrid>
      <w:tr w:rsidR="004D1AFC" w:rsidRPr="004D1AFC" w:rsidTr="004D1AFC">
        <w:trPr>
          <w:trHeight w:val="315"/>
        </w:trPr>
        <w:tc>
          <w:tcPr>
            <w:tcW w:w="900" w:type="dxa"/>
            <w:tcBorders>
              <w:top w:val="nil"/>
              <w:left w:val="nil"/>
              <w:bottom w:val="single" w:sz="8" w:space="0" w:color="000000"/>
              <w:right w:val="single" w:sz="8" w:space="0" w:color="000000"/>
            </w:tcBorders>
            <w:shd w:val="clear" w:color="auto" w:fill="auto"/>
            <w:noWrap/>
            <w:vAlign w:val="center"/>
            <w:hideMark/>
          </w:tcPr>
          <w:p w:rsidR="004D1AFC" w:rsidRPr="004D1AFC" w:rsidRDefault="004D1AFC" w:rsidP="004D1AFC">
            <w:pPr>
              <w:rPr>
                <w:rFonts w:ascii="Calibri" w:hAnsi="Calibri"/>
                <w:b/>
                <w:bCs/>
                <w:color w:val="000000"/>
                <w:sz w:val="16"/>
                <w:szCs w:val="16"/>
              </w:rPr>
            </w:pPr>
            <w:r w:rsidRPr="004D1AFC">
              <w:rPr>
                <w:rFonts w:ascii="Calibri" w:hAnsi="Calibri"/>
                <w:b/>
                <w:bCs/>
                <w:color w:val="000000"/>
                <w:sz w:val="16"/>
                <w:szCs w:val="16"/>
              </w:rPr>
              <w:t xml:space="preserve">Date </w:t>
            </w:r>
            <w:r w:rsidRPr="004D1AFC">
              <w:rPr>
                <w:rFonts w:ascii="Calibri" w:hAnsi="Calibri"/>
                <w:color w:val="000000"/>
                <w:sz w:val="16"/>
                <w:szCs w:val="16"/>
              </w:rPr>
              <w:t xml:space="preserve"> </w:t>
            </w:r>
          </w:p>
        </w:tc>
        <w:tc>
          <w:tcPr>
            <w:tcW w:w="3280" w:type="dxa"/>
            <w:tcBorders>
              <w:top w:val="nil"/>
              <w:left w:val="nil"/>
              <w:bottom w:val="single" w:sz="8" w:space="0" w:color="000000"/>
              <w:right w:val="single" w:sz="8" w:space="0" w:color="000000"/>
            </w:tcBorders>
            <w:shd w:val="clear" w:color="auto" w:fill="auto"/>
            <w:noWrap/>
            <w:vAlign w:val="center"/>
            <w:hideMark/>
          </w:tcPr>
          <w:p w:rsidR="004D1AFC" w:rsidRPr="004D1AFC" w:rsidRDefault="004D1AFC" w:rsidP="004D1AFC">
            <w:pPr>
              <w:jc w:val="center"/>
              <w:rPr>
                <w:rFonts w:ascii="Calibri" w:hAnsi="Calibri"/>
                <w:b/>
                <w:bCs/>
                <w:color w:val="000000"/>
                <w:sz w:val="16"/>
                <w:szCs w:val="16"/>
              </w:rPr>
            </w:pPr>
            <w:r w:rsidRPr="004D1AFC">
              <w:rPr>
                <w:rFonts w:ascii="Calibri" w:hAnsi="Calibri"/>
                <w:b/>
                <w:bCs/>
                <w:color w:val="000000"/>
                <w:sz w:val="16"/>
                <w:szCs w:val="16"/>
              </w:rPr>
              <w:t xml:space="preserve">Topics </w:t>
            </w:r>
            <w:r w:rsidRPr="004D1AFC">
              <w:rPr>
                <w:rFonts w:ascii="Calibri" w:hAnsi="Calibri"/>
                <w:color w:val="000000"/>
                <w:sz w:val="16"/>
                <w:szCs w:val="16"/>
              </w:rPr>
              <w:t xml:space="preserve"> </w:t>
            </w:r>
          </w:p>
        </w:tc>
        <w:tc>
          <w:tcPr>
            <w:tcW w:w="6160" w:type="dxa"/>
            <w:tcBorders>
              <w:top w:val="nil"/>
              <w:left w:val="nil"/>
              <w:bottom w:val="single" w:sz="8" w:space="0" w:color="000000"/>
              <w:right w:val="nil"/>
            </w:tcBorders>
            <w:shd w:val="clear" w:color="auto" w:fill="auto"/>
            <w:vAlign w:val="center"/>
            <w:hideMark/>
          </w:tcPr>
          <w:p w:rsidR="004D1AFC" w:rsidRPr="004D1AFC" w:rsidRDefault="004D1AFC" w:rsidP="004D1AFC">
            <w:pPr>
              <w:jc w:val="center"/>
              <w:rPr>
                <w:rFonts w:ascii="Calibri" w:hAnsi="Calibri"/>
                <w:b/>
                <w:bCs/>
                <w:color w:val="000000"/>
                <w:sz w:val="16"/>
                <w:szCs w:val="16"/>
              </w:rPr>
            </w:pPr>
            <w:r w:rsidRPr="004D1AFC">
              <w:rPr>
                <w:rFonts w:ascii="Calibri" w:hAnsi="Calibri"/>
                <w:b/>
                <w:bCs/>
                <w:color w:val="000000"/>
                <w:sz w:val="16"/>
                <w:szCs w:val="16"/>
              </w:rPr>
              <w:t>Readings and assignments</w:t>
            </w:r>
            <w:r w:rsidRPr="004D1AFC">
              <w:rPr>
                <w:rFonts w:ascii="Calibri" w:hAnsi="Calibri"/>
                <w:color w:val="000000"/>
                <w:sz w:val="16"/>
                <w:szCs w:val="16"/>
              </w:rPr>
              <w:t xml:space="preserve"> </w:t>
            </w:r>
          </w:p>
        </w:tc>
      </w:tr>
      <w:tr w:rsidR="004D1AFC" w:rsidRPr="004D1AFC" w:rsidTr="004D1AFC">
        <w:trPr>
          <w:trHeight w:val="450"/>
        </w:trPr>
        <w:tc>
          <w:tcPr>
            <w:tcW w:w="900" w:type="dxa"/>
            <w:tcBorders>
              <w:top w:val="nil"/>
              <w:left w:val="nil"/>
              <w:bottom w:val="nil"/>
              <w:right w:val="single" w:sz="8" w:space="0" w:color="000000"/>
            </w:tcBorders>
            <w:shd w:val="clear" w:color="auto" w:fill="auto"/>
            <w:noWrap/>
            <w:vAlign w:val="center"/>
            <w:hideMark/>
          </w:tcPr>
          <w:p w:rsidR="004D1AFC" w:rsidRPr="004D1AFC" w:rsidRDefault="004D1C9A" w:rsidP="004D1AFC">
            <w:pPr>
              <w:rPr>
                <w:rFonts w:ascii="Calibri" w:hAnsi="Calibri"/>
                <w:color w:val="000000"/>
                <w:sz w:val="16"/>
                <w:szCs w:val="16"/>
              </w:rPr>
            </w:pPr>
            <w:r>
              <w:rPr>
                <w:rFonts w:ascii="Calibri" w:hAnsi="Calibri"/>
                <w:color w:val="000000"/>
                <w:sz w:val="16"/>
                <w:szCs w:val="16"/>
              </w:rPr>
              <w:t>Tu., Jan. 27</w:t>
            </w:r>
          </w:p>
        </w:tc>
        <w:tc>
          <w:tcPr>
            <w:tcW w:w="3280" w:type="dxa"/>
            <w:tcBorders>
              <w:top w:val="nil"/>
              <w:left w:val="nil"/>
              <w:bottom w:val="nil"/>
              <w:right w:val="single" w:sz="8" w:space="0" w:color="000000"/>
            </w:tcBorders>
            <w:shd w:val="clear" w:color="auto" w:fill="auto"/>
            <w:vAlign w:val="center"/>
            <w:hideMark/>
          </w:tcPr>
          <w:p w:rsidR="004D1AFC" w:rsidRPr="004D1AFC" w:rsidRDefault="004D1AFC" w:rsidP="004D1AFC">
            <w:pPr>
              <w:rPr>
                <w:rFonts w:ascii="Calibri" w:hAnsi="Calibri"/>
                <w:color w:val="000000"/>
                <w:sz w:val="16"/>
                <w:szCs w:val="16"/>
              </w:rPr>
            </w:pPr>
            <w:r w:rsidRPr="004D1AFC">
              <w:rPr>
                <w:rFonts w:ascii="Calibri" w:hAnsi="Calibri"/>
                <w:color w:val="000000"/>
                <w:sz w:val="16"/>
                <w:szCs w:val="16"/>
              </w:rPr>
              <w:t xml:space="preserve">Introduction to the Fundamentals of Value Investing and Fundamentals of Valuation  </w:t>
            </w:r>
          </w:p>
        </w:tc>
        <w:tc>
          <w:tcPr>
            <w:tcW w:w="6160" w:type="dxa"/>
            <w:tcBorders>
              <w:top w:val="nil"/>
              <w:left w:val="nil"/>
              <w:bottom w:val="nil"/>
              <w:right w:val="nil"/>
            </w:tcBorders>
            <w:shd w:val="clear" w:color="auto" w:fill="auto"/>
            <w:vAlign w:val="center"/>
            <w:hideMark/>
          </w:tcPr>
          <w:p w:rsidR="004D1AFC" w:rsidRPr="004D1AFC" w:rsidRDefault="004D1AFC" w:rsidP="004D1AFC">
            <w:pPr>
              <w:rPr>
                <w:rFonts w:ascii="Symbol" w:hAnsi="Symbol"/>
                <w:color w:val="000000"/>
                <w:sz w:val="16"/>
                <w:szCs w:val="16"/>
              </w:rPr>
            </w:pPr>
            <w:r w:rsidRPr="004D1AFC">
              <w:rPr>
                <w:rFonts w:ascii="Symbol" w:eastAsia="Symbol" w:hAnsi="Symbol" w:cs="Symbol"/>
                <w:color w:val="000000"/>
                <w:sz w:val="16"/>
                <w:szCs w:val="16"/>
              </w:rPr>
              <w:t></w:t>
            </w:r>
            <w:r w:rsidRPr="004D1AFC">
              <w:rPr>
                <w:rFonts w:eastAsia="Symbol"/>
                <w:color w:val="000000"/>
                <w:sz w:val="14"/>
                <w:szCs w:val="14"/>
              </w:rPr>
              <w:t xml:space="preserve">          </w:t>
            </w:r>
            <w:r w:rsidRPr="004D1AFC">
              <w:rPr>
                <w:rFonts w:ascii="Calibri" w:eastAsia="Symbol" w:hAnsi="Calibri" w:cs="Symbol"/>
                <w:b/>
                <w:bCs/>
                <w:color w:val="000000"/>
                <w:sz w:val="16"/>
                <w:szCs w:val="16"/>
              </w:rPr>
              <w:t>II</w:t>
            </w:r>
            <w:r w:rsidRPr="004D1AFC">
              <w:rPr>
                <w:rFonts w:ascii="Calibri" w:eastAsia="Symbol" w:hAnsi="Calibri" w:cs="Symbol"/>
                <w:color w:val="000000"/>
                <w:sz w:val="16"/>
                <w:szCs w:val="16"/>
              </w:rPr>
              <w:t xml:space="preserve">, </w:t>
            </w:r>
            <w:proofErr w:type="spellStart"/>
            <w:r w:rsidRPr="004D1AFC">
              <w:rPr>
                <w:rFonts w:ascii="Calibri" w:eastAsia="Symbol" w:hAnsi="Calibri" w:cs="Symbol"/>
                <w:color w:val="000000"/>
                <w:sz w:val="16"/>
                <w:szCs w:val="16"/>
              </w:rPr>
              <w:t>Chpts</w:t>
            </w:r>
            <w:proofErr w:type="spellEnd"/>
            <w:r w:rsidRPr="004D1AFC">
              <w:rPr>
                <w:rFonts w:ascii="Calibri" w:eastAsia="Symbol" w:hAnsi="Calibri" w:cs="Symbol"/>
                <w:color w:val="000000"/>
                <w:sz w:val="16"/>
                <w:szCs w:val="16"/>
              </w:rPr>
              <w:t>. 1</w:t>
            </w:r>
            <w:proofErr w:type="gramStart"/>
            <w:r w:rsidRPr="004D1AFC">
              <w:rPr>
                <w:rFonts w:ascii="Calibri" w:eastAsia="Symbol" w:hAnsi="Calibri" w:cs="Symbol"/>
                <w:color w:val="000000"/>
                <w:sz w:val="16"/>
                <w:szCs w:val="16"/>
              </w:rPr>
              <w:t>,8,15</w:t>
            </w:r>
            <w:proofErr w:type="gramEnd"/>
            <w:r w:rsidRPr="004D1AFC">
              <w:rPr>
                <w:rFonts w:ascii="Calibri" w:eastAsia="Symbol" w:hAnsi="Calibri" w:cs="Symbol"/>
                <w:color w:val="000000"/>
                <w:sz w:val="16"/>
                <w:szCs w:val="16"/>
              </w:rPr>
              <w:t xml:space="preserve">; </w:t>
            </w:r>
            <w:r w:rsidRPr="004D1AFC">
              <w:rPr>
                <w:rFonts w:ascii="Calibri" w:eastAsia="Symbol" w:hAnsi="Calibri" w:cs="Symbol"/>
                <w:b/>
                <w:bCs/>
                <w:color w:val="000000"/>
                <w:sz w:val="16"/>
                <w:szCs w:val="16"/>
              </w:rPr>
              <w:t>VI</w:t>
            </w:r>
            <w:r w:rsidRPr="004D1AFC">
              <w:rPr>
                <w:rFonts w:ascii="Calibri" w:eastAsia="Symbol" w:hAnsi="Calibri" w:cs="Symbol"/>
                <w:color w:val="000000"/>
                <w:sz w:val="16"/>
                <w:szCs w:val="16"/>
              </w:rPr>
              <w:t xml:space="preserve">, </w:t>
            </w:r>
            <w:proofErr w:type="spellStart"/>
            <w:r w:rsidRPr="004D1AFC">
              <w:rPr>
                <w:rFonts w:ascii="Calibri" w:eastAsia="Symbol" w:hAnsi="Calibri" w:cs="Symbol"/>
                <w:color w:val="000000"/>
                <w:sz w:val="16"/>
                <w:szCs w:val="16"/>
              </w:rPr>
              <w:t>Chpts</w:t>
            </w:r>
            <w:proofErr w:type="spellEnd"/>
            <w:r w:rsidRPr="004D1AFC">
              <w:rPr>
                <w:rFonts w:ascii="Calibri" w:eastAsia="Symbol" w:hAnsi="Calibri" w:cs="Symbol"/>
                <w:color w:val="000000"/>
                <w:sz w:val="16"/>
                <w:szCs w:val="16"/>
              </w:rPr>
              <w:t xml:space="preserve">. 1-5. </w:t>
            </w:r>
          </w:p>
        </w:tc>
      </w:tr>
      <w:tr w:rsidR="004D1AFC" w:rsidRPr="004D1AFC" w:rsidTr="004D1AFC">
        <w:trPr>
          <w:trHeight w:val="450"/>
        </w:trPr>
        <w:tc>
          <w:tcPr>
            <w:tcW w:w="900" w:type="dxa"/>
            <w:tcBorders>
              <w:top w:val="nil"/>
              <w:left w:val="nil"/>
              <w:bottom w:val="nil"/>
              <w:right w:val="single" w:sz="8" w:space="0" w:color="000000"/>
            </w:tcBorders>
            <w:shd w:val="clear" w:color="auto" w:fill="auto"/>
            <w:noWrap/>
            <w:vAlign w:val="center"/>
            <w:hideMark/>
          </w:tcPr>
          <w:p w:rsidR="004D1AFC" w:rsidRPr="004D1AFC" w:rsidRDefault="004D1AFC" w:rsidP="004D1AFC">
            <w:pPr>
              <w:rPr>
                <w:rFonts w:ascii="Calibri" w:hAnsi="Calibri"/>
                <w:color w:val="000000"/>
                <w:sz w:val="16"/>
                <w:szCs w:val="16"/>
              </w:rPr>
            </w:pPr>
            <w:r w:rsidRPr="004D1AFC">
              <w:rPr>
                <w:rFonts w:ascii="Calibri" w:hAnsi="Calibri"/>
                <w:color w:val="000000"/>
                <w:sz w:val="16"/>
                <w:szCs w:val="16"/>
              </w:rPr>
              <w:t xml:space="preserve">   </w:t>
            </w:r>
          </w:p>
        </w:tc>
        <w:tc>
          <w:tcPr>
            <w:tcW w:w="3280" w:type="dxa"/>
            <w:tcBorders>
              <w:top w:val="nil"/>
              <w:left w:val="nil"/>
              <w:bottom w:val="nil"/>
              <w:right w:val="single" w:sz="8" w:space="0" w:color="000000"/>
            </w:tcBorders>
            <w:shd w:val="clear" w:color="auto" w:fill="auto"/>
            <w:noWrap/>
            <w:vAlign w:val="center"/>
            <w:hideMark/>
          </w:tcPr>
          <w:p w:rsidR="004D1AFC" w:rsidRPr="004D1AFC" w:rsidRDefault="004D1AFC" w:rsidP="004D1AFC">
            <w:pPr>
              <w:rPr>
                <w:rFonts w:ascii="Calibri" w:hAnsi="Calibri"/>
                <w:color w:val="000000"/>
                <w:sz w:val="16"/>
                <w:szCs w:val="16"/>
              </w:rPr>
            </w:pPr>
            <w:r w:rsidRPr="004D1AFC">
              <w:rPr>
                <w:rFonts w:ascii="Calibri" w:hAnsi="Calibri"/>
                <w:color w:val="000000"/>
                <w:sz w:val="16"/>
                <w:szCs w:val="16"/>
              </w:rPr>
              <w:t xml:space="preserve">   </w:t>
            </w:r>
          </w:p>
        </w:tc>
        <w:tc>
          <w:tcPr>
            <w:tcW w:w="6160" w:type="dxa"/>
            <w:tcBorders>
              <w:top w:val="nil"/>
              <w:left w:val="nil"/>
              <w:bottom w:val="nil"/>
              <w:right w:val="nil"/>
            </w:tcBorders>
            <w:shd w:val="clear" w:color="auto" w:fill="auto"/>
            <w:vAlign w:val="center"/>
            <w:hideMark/>
          </w:tcPr>
          <w:p w:rsidR="004D1AFC" w:rsidRPr="004D1AFC" w:rsidRDefault="004D1AFC" w:rsidP="004D1AFC">
            <w:pPr>
              <w:rPr>
                <w:rFonts w:ascii="Symbol" w:hAnsi="Symbol"/>
                <w:color w:val="000000"/>
                <w:sz w:val="16"/>
                <w:szCs w:val="16"/>
              </w:rPr>
            </w:pPr>
            <w:r w:rsidRPr="004D1AFC">
              <w:rPr>
                <w:rFonts w:ascii="Symbol" w:eastAsia="Symbol" w:hAnsi="Symbol" w:cs="Symbol"/>
                <w:color w:val="000000"/>
                <w:sz w:val="16"/>
                <w:szCs w:val="16"/>
              </w:rPr>
              <w:t></w:t>
            </w:r>
            <w:r w:rsidRPr="004D1AFC">
              <w:rPr>
                <w:rFonts w:eastAsia="Symbol"/>
                <w:color w:val="000000"/>
                <w:sz w:val="14"/>
                <w:szCs w:val="14"/>
              </w:rPr>
              <w:t xml:space="preserve">          </w:t>
            </w:r>
            <w:r w:rsidRPr="004D1AFC">
              <w:rPr>
                <w:rFonts w:ascii="Calibri" w:eastAsia="Symbol" w:hAnsi="Calibri" w:cs="Symbol"/>
                <w:color w:val="000000"/>
                <w:sz w:val="16"/>
                <w:szCs w:val="16"/>
              </w:rPr>
              <w:t xml:space="preserve">Ch. Lee, A. </w:t>
            </w:r>
            <w:proofErr w:type="spellStart"/>
            <w:r w:rsidRPr="004D1AFC">
              <w:rPr>
                <w:rFonts w:ascii="Calibri" w:eastAsia="Symbol" w:hAnsi="Calibri" w:cs="Symbol"/>
                <w:color w:val="000000"/>
                <w:sz w:val="16"/>
                <w:szCs w:val="16"/>
              </w:rPr>
              <w:t>Shleifer</w:t>
            </w:r>
            <w:proofErr w:type="spellEnd"/>
            <w:r w:rsidRPr="004D1AFC">
              <w:rPr>
                <w:rFonts w:ascii="Calibri" w:eastAsia="Symbol" w:hAnsi="Calibri" w:cs="Symbol"/>
                <w:color w:val="000000"/>
                <w:sz w:val="16"/>
                <w:szCs w:val="16"/>
              </w:rPr>
              <w:t xml:space="preserve"> and R. </w:t>
            </w:r>
            <w:proofErr w:type="spellStart"/>
            <w:r w:rsidRPr="004D1AFC">
              <w:rPr>
                <w:rFonts w:ascii="Calibri" w:eastAsia="Symbol" w:hAnsi="Calibri" w:cs="Symbol"/>
                <w:color w:val="000000"/>
                <w:sz w:val="16"/>
                <w:szCs w:val="16"/>
              </w:rPr>
              <w:t>Thaler</w:t>
            </w:r>
            <w:proofErr w:type="spellEnd"/>
            <w:r w:rsidRPr="004D1AFC">
              <w:rPr>
                <w:rFonts w:ascii="Calibri" w:eastAsia="Symbol" w:hAnsi="Calibri" w:cs="Symbol"/>
                <w:color w:val="000000"/>
                <w:sz w:val="16"/>
                <w:szCs w:val="16"/>
              </w:rPr>
              <w:t xml:space="preserve">, </w:t>
            </w:r>
            <w:r w:rsidRPr="004D1AFC">
              <w:rPr>
                <w:rFonts w:ascii="Calibri" w:eastAsia="Symbol" w:hAnsi="Calibri" w:cs="Symbol"/>
                <w:i/>
                <w:iCs/>
                <w:color w:val="000000"/>
                <w:sz w:val="16"/>
                <w:szCs w:val="16"/>
              </w:rPr>
              <w:t>“Investor Sentiment and the Closed End Fund Puzzle,”</w:t>
            </w:r>
            <w:r w:rsidRPr="004D1AFC">
              <w:rPr>
                <w:rFonts w:ascii="Calibri" w:eastAsia="Symbol" w:hAnsi="Calibri" w:cs="Symbol"/>
                <w:color w:val="000000"/>
                <w:sz w:val="16"/>
                <w:szCs w:val="16"/>
              </w:rPr>
              <w:t xml:space="preserve"> Journal of Finance, March 199</w:t>
            </w:r>
          </w:p>
        </w:tc>
      </w:tr>
      <w:tr w:rsidR="004D1AFC" w:rsidRPr="004D1AFC" w:rsidTr="004D1AFC">
        <w:trPr>
          <w:trHeight w:val="450"/>
        </w:trPr>
        <w:tc>
          <w:tcPr>
            <w:tcW w:w="900" w:type="dxa"/>
            <w:tcBorders>
              <w:top w:val="nil"/>
              <w:left w:val="nil"/>
              <w:bottom w:val="nil"/>
              <w:right w:val="single" w:sz="8" w:space="0" w:color="000000"/>
            </w:tcBorders>
            <w:shd w:val="clear" w:color="auto" w:fill="auto"/>
            <w:noWrap/>
            <w:vAlign w:val="center"/>
            <w:hideMark/>
          </w:tcPr>
          <w:p w:rsidR="004D1AFC" w:rsidRPr="004D1AFC" w:rsidRDefault="004D1AFC" w:rsidP="004D1AFC">
            <w:pPr>
              <w:rPr>
                <w:rFonts w:ascii="Calibri" w:hAnsi="Calibri"/>
                <w:color w:val="000000"/>
                <w:sz w:val="16"/>
                <w:szCs w:val="16"/>
              </w:rPr>
            </w:pPr>
            <w:r w:rsidRPr="004D1AFC">
              <w:rPr>
                <w:rFonts w:ascii="Calibri" w:hAnsi="Calibri"/>
                <w:color w:val="000000"/>
                <w:sz w:val="16"/>
                <w:szCs w:val="16"/>
              </w:rPr>
              <w:t> </w:t>
            </w:r>
          </w:p>
        </w:tc>
        <w:tc>
          <w:tcPr>
            <w:tcW w:w="3280" w:type="dxa"/>
            <w:tcBorders>
              <w:top w:val="nil"/>
              <w:left w:val="nil"/>
              <w:bottom w:val="nil"/>
              <w:right w:val="single" w:sz="8" w:space="0" w:color="000000"/>
            </w:tcBorders>
            <w:shd w:val="clear" w:color="auto" w:fill="auto"/>
            <w:noWrap/>
            <w:hideMark/>
          </w:tcPr>
          <w:p w:rsidR="004D1AFC" w:rsidRPr="004D1AFC" w:rsidRDefault="004D1AFC" w:rsidP="004D1AFC">
            <w:pPr>
              <w:rPr>
                <w:rFonts w:ascii="Calibri" w:hAnsi="Calibri"/>
                <w:color w:val="000000"/>
              </w:rPr>
            </w:pPr>
            <w:r w:rsidRPr="004D1AFC">
              <w:rPr>
                <w:rFonts w:ascii="Calibri" w:hAnsi="Calibri"/>
                <w:color w:val="000000"/>
                <w:sz w:val="22"/>
                <w:szCs w:val="22"/>
              </w:rPr>
              <w:t> </w:t>
            </w:r>
          </w:p>
        </w:tc>
        <w:tc>
          <w:tcPr>
            <w:tcW w:w="6160" w:type="dxa"/>
            <w:tcBorders>
              <w:top w:val="nil"/>
              <w:left w:val="nil"/>
              <w:bottom w:val="nil"/>
              <w:right w:val="nil"/>
            </w:tcBorders>
            <w:shd w:val="clear" w:color="auto" w:fill="auto"/>
            <w:vAlign w:val="center"/>
            <w:hideMark/>
          </w:tcPr>
          <w:p w:rsidR="004D1AFC" w:rsidRPr="004D1AFC" w:rsidRDefault="004D1AFC" w:rsidP="004D1AFC">
            <w:pPr>
              <w:rPr>
                <w:rFonts w:ascii="Symbol" w:hAnsi="Symbol"/>
                <w:color w:val="000000"/>
                <w:sz w:val="16"/>
                <w:szCs w:val="16"/>
              </w:rPr>
            </w:pPr>
            <w:r w:rsidRPr="004D1AFC">
              <w:rPr>
                <w:rFonts w:ascii="Symbol" w:eastAsia="Symbol" w:hAnsi="Symbol" w:cs="Symbol"/>
                <w:color w:val="000000"/>
                <w:sz w:val="16"/>
                <w:szCs w:val="16"/>
              </w:rPr>
              <w:t></w:t>
            </w:r>
            <w:r w:rsidRPr="004D1AFC">
              <w:rPr>
                <w:rFonts w:eastAsia="Symbol"/>
                <w:color w:val="000000"/>
                <w:sz w:val="14"/>
                <w:szCs w:val="14"/>
              </w:rPr>
              <w:t xml:space="preserve">          </w:t>
            </w:r>
            <w:r w:rsidRPr="004D1AFC">
              <w:rPr>
                <w:rFonts w:ascii="Calibri" w:eastAsia="Symbol" w:hAnsi="Calibri" w:cs="Symbol"/>
                <w:color w:val="000000"/>
                <w:sz w:val="16"/>
                <w:szCs w:val="16"/>
              </w:rPr>
              <w:t xml:space="preserve">R. Sloan, </w:t>
            </w:r>
            <w:r w:rsidRPr="004D1AFC">
              <w:rPr>
                <w:rFonts w:ascii="Calibri" w:eastAsia="Symbol" w:hAnsi="Calibri" w:cs="Symbol"/>
                <w:i/>
                <w:iCs/>
                <w:color w:val="000000"/>
                <w:sz w:val="16"/>
                <w:szCs w:val="16"/>
              </w:rPr>
              <w:t>“Do stock prices fully reflect information in accruals and cash-flows about future earnings?”</w:t>
            </w:r>
            <w:r w:rsidRPr="004D1AFC">
              <w:rPr>
                <w:rFonts w:ascii="Calibri" w:eastAsia="Symbol" w:hAnsi="Calibri" w:cs="Symbol"/>
                <w:color w:val="000000"/>
                <w:sz w:val="16"/>
                <w:szCs w:val="16"/>
              </w:rPr>
              <w:t xml:space="preserve"> Accounting Review, 71, 1996.</w:t>
            </w:r>
          </w:p>
        </w:tc>
      </w:tr>
      <w:tr w:rsidR="004D1AFC" w:rsidRPr="004D1AFC" w:rsidTr="004D1AFC">
        <w:trPr>
          <w:trHeight w:val="450"/>
        </w:trPr>
        <w:tc>
          <w:tcPr>
            <w:tcW w:w="900" w:type="dxa"/>
            <w:tcBorders>
              <w:top w:val="nil"/>
              <w:left w:val="nil"/>
              <w:bottom w:val="nil"/>
              <w:right w:val="single" w:sz="8" w:space="0" w:color="000000"/>
            </w:tcBorders>
            <w:shd w:val="clear" w:color="auto" w:fill="auto"/>
            <w:noWrap/>
            <w:hideMark/>
          </w:tcPr>
          <w:p w:rsidR="004D1AFC" w:rsidRPr="004D1AFC" w:rsidRDefault="004D1AFC" w:rsidP="004D1AFC">
            <w:pPr>
              <w:rPr>
                <w:rFonts w:ascii="Calibri" w:hAnsi="Calibri"/>
                <w:color w:val="000000"/>
              </w:rPr>
            </w:pPr>
            <w:r w:rsidRPr="004D1AFC">
              <w:rPr>
                <w:rFonts w:ascii="Calibri" w:hAnsi="Calibri"/>
                <w:color w:val="000000"/>
                <w:sz w:val="22"/>
                <w:szCs w:val="22"/>
              </w:rPr>
              <w:t> </w:t>
            </w:r>
          </w:p>
        </w:tc>
        <w:tc>
          <w:tcPr>
            <w:tcW w:w="3280" w:type="dxa"/>
            <w:tcBorders>
              <w:top w:val="nil"/>
              <w:left w:val="nil"/>
              <w:bottom w:val="nil"/>
              <w:right w:val="single" w:sz="8" w:space="0" w:color="000000"/>
            </w:tcBorders>
            <w:shd w:val="clear" w:color="auto" w:fill="auto"/>
            <w:noWrap/>
            <w:hideMark/>
          </w:tcPr>
          <w:p w:rsidR="004D1AFC" w:rsidRPr="004D1AFC" w:rsidRDefault="004D1AFC" w:rsidP="004D1AFC">
            <w:pPr>
              <w:rPr>
                <w:rFonts w:ascii="Calibri" w:hAnsi="Calibri"/>
                <w:color w:val="000000"/>
              </w:rPr>
            </w:pPr>
            <w:r w:rsidRPr="004D1AFC">
              <w:rPr>
                <w:rFonts w:ascii="Calibri" w:hAnsi="Calibri"/>
                <w:color w:val="000000"/>
                <w:sz w:val="22"/>
                <w:szCs w:val="22"/>
              </w:rPr>
              <w:t> </w:t>
            </w:r>
          </w:p>
        </w:tc>
        <w:tc>
          <w:tcPr>
            <w:tcW w:w="6160" w:type="dxa"/>
            <w:tcBorders>
              <w:top w:val="nil"/>
              <w:left w:val="nil"/>
              <w:bottom w:val="nil"/>
              <w:right w:val="nil"/>
            </w:tcBorders>
            <w:shd w:val="clear" w:color="auto" w:fill="auto"/>
            <w:vAlign w:val="center"/>
            <w:hideMark/>
          </w:tcPr>
          <w:p w:rsidR="004D1AFC" w:rsidRPr="004D1AFC" w:rsidRDefault="004D1AFC" w:rsidP="004D1AFC">
            <w:pPr>
              <w:rPr>
                <w:rFonts w:ascii="Symbol" w:hAnsi="Symbol"/>
                <w:color w:val="000000"/>
                <w:sz w:val="16"/>
                <w:szCs w:val="16"/>
              </w:rPr>
            </w:pPr>
            <w:r w:rsidRPr="004D1AFC">
              <w:rPr>
                <w:rFonts w:ascii="Symbol" w:eastAsia="Symbol" w:hAnsi="Symbol" w:cs="Symbol"/>
                <w:color w:val="000000"/>
                <w:sz w:val="16"/>
                <w:szCs w:val="16"/>
              </w:rPr>
              <w:t></w:t>
            </w:r>
            <w:r w:rsidRPr="004D1AFC">
              <w:rPr>
                <w:rFonts w:eastAsia="Symbol"/>
                <w:color w:val="000000"/>
                <w:sz w:val="14"/>
                <w:szCs w:val="14"/>
              </w:rPr>
              <w:t xml:space="preserve">          </w:t>
            </w:r>
            <w:r w:rsidRPr="004D1AFC">
              <w:rPr>
                <w:rFonts w:ascii="Calibri" w:eastAsia="Symbol" w:hAnsi="Calibri" w:cs="Symbol"/>
                <w:color w:val="000000"/>
                <w:sz w:val="16"/>
                <w:szCs w:val="16"/>
              </w:rPr>
              <w:t xml:space="preserve">A. </w:t>
            </w:r>
            <w:proofErr w:type="spellStart"/>
            <w:r w:rsidRPr="004D1AFC">
              <w:rPr>
                <w:rFonts w:ascii="Calibri" w:eastAsia="Symbol" w:hAnsi="Calibri" w:cs="Symbol"/>
                <w:color w:val="000000"/>
                <w:sz w:val="16"/>
                <w:szCs w:val="16"/>
              </w:rPr>
              <w:t>Frazzini</w:t>
            </w:r>
            <w:proofErr w:type="spellEnd"/>
            <w:r w:rsidRPr="004D1AFC">
              <w:rPr>
                <w:rFonts w:ascii="Calibri" w:eastAsia="Symbol" w:hAnsi="Calibri" w:cs="Symbol"/>
                <w:color w:val="000000"/>
                <w:sz w:val="16"/>
                <w:szCs w:val="16"/>
              </w:rPr>
              <w:t xml:space="preserve"> and O. Lamont “</w:t>
            </w:r>
            <w:r w:rsidRPr="004D1AFC">
              <w:rPr>
                <w:rFonts w:ascii="Calibri" w:eastAsia="Symbol" w:hAnsi="Calibri" w:cs="Symbol"/>
                <w:i/>
                <w:iCs/>
                <w:color w:val="000000"/>
                <w:sz w:val="16"/>
                <w:szCs w:val="16"/>
              </w:rPr>
              <w:t>Dumb money: Mutual fund flows and the cross section of stock returns,”</w:t>
            </w:r>
            <w:r w:rsidRPr="004D1AFC">
              <w:rPr>
                <w:rFonts w:ascii="Calibri" w:eastAsia="Symbol" w:hAnsi="Calibri" w:cs="Symbol"/>
                <w:color w:val="000000"/>
                <w:sz w:val="16"/>
                <w:szCs w:val="16"/>
              </w:rPr>
              <w:t xml:space="preserve"> Journal of Financial Economics, 88, 2008.</w:t>
            </w:r>
          </w:p>
        </w:tc>
      </w:tr>
      <w:tr w:rsidR="004D1AFC" w:rsidRPr="004D1AFC" w:rsidTr="004D1AFC">
        <w:trPr>
          <w:trHeight w:val="450"/>
        </w:trPr>
        <w:tc>
          <w:tcPr>
            <w:tcW w:w="900" w:type="dxa"/>
            <w:tcBorders>
              <w:top w:val="nil"/>
              <w:left w:val="nil"/>
              <w:bottom w:val="nil"/>
              <w:right w:val="single" w:sz="8" w:space="0" w:color="000000"/>
            </w:tcBorders>
            <w:shd w:val="clear" w:color="auto" w:fill="auto"/>
            <w:noWrap/>
            <w:hideMark/>
          </w:tcPr>
          <w:p w:rsidR="004D1AFC" w:rsidRPr="004D1AFC" w:rsidRDefault="004D1AFC" w:rsidP="004D1AFC">
            <w:pPr>
              <w:rPr>
                <w:rFonts w:ascii="Calibri" w:hAnsi="Calibri"/>
                <w:color w:val="000000"/>
              </w:rPr>
            </w:pPr>
            <w:r w:rsidRPr="004D1AFC">
              <w:rPr>
                <w:rFonts w:ascii="Calibri" w:hAnsi="Calibri"/>
                <w:color w:val="000000"/>
                <w:sz w:val="22"/>
                <w:szCs w:val="22"/>
              </w:rPr>
              <w:t> </w:t>
            </w:r>
          </w:p>
        </w:tc>
        <w:tc>
          <w:tcPr>
            <w:tcW w:w="3280" w:type="dxa"/>
            <w:tcBorders>
              <w:top w:val="nil"/>
              <w:left w:val="nil"/>
              <w:bottom w:val="nil"/>
              <w:right w:val="single" w:sz="8" w:space="0" w:color="000000"/>
            </w:tcBorders>
            <w:shd w:val="clear" w:color="auto" w:fill="auto"/>
            <w:noWrap/>
            <w:hideMark/>
          </w:tcPr>
          <w:p w:rsidR="004D1AFC" w:rsidRPr="004D1AFC" w:rsidRDefault="004D1AFC" w:rsidP="004D1AFC">
            <w:pPr>
              <w:rPr>
                <w:rFonts w:ascii="Calibri" w:hAnsi="Calibri"/>
                <w:color w:val="000000"/>
              </w:rPr>
            </w:pPr>
            <w:r w:rsidRPr="004D1AFC">
              <w:rPr>
                <w:rFonts w:ascii="Calibri" w:hAnsi="Calibri"/>
                <w:color w:val="000000"/>
                <w:sz w:val="22"/>
                <w:szCs w:val="22"/>
              </w:rPr>
              <w:t> </w:t>
            </w:r>
          </w:p>
        </w:tc>
        <w:tc>
          <w:tcPr>
            <w:tcW w:w="6160" w:type="dxa"/>
            <w:tcBorders>
              <w:top w:val="nil"/>
              <w:left w:val="nil"/>
              <w:bottom w:val="nil"/>
              <w:right w:val="nil"/>
            </w:tcBorders>
            <w:shd w:val="clear" w:color="auto" w:fill="auto"/>
            <w:vAlign w:val="center"/>
            <w:hideMark/>
          </w:tcPr>
          <w:p w:rsidR="004D1AFC" w:rsidRPr="004D1AFC" w:rsidRDefault="004D1AFC" w:rsidP="004D1AFC">
            <w:pPr>
              <w:rPr>
                <w:rFonts w:ascii="Symbol" w:hAnsi="Symbol"/>
                <w:color w:val="000000"/>
                <w:sz w:val="16"/>
                <w:szCs w:val="16"/>
              </w:rPr>
            </w:pPr>
            <w:r w:rsidRPr="004D1AFC">
              <w:rPr>
                <w:rFonts w:ascii="Symbol" w:eastAsia="Symbol" w:hAnsi="Symbol" w:cs="Symbol"/>
                <w:color w:val="000000"/>
                <w:sz w:val="16"/>
                <w:szCs w:val="16"/>
              </w:rPr>
              <w:t></w:t>
            </w:r>
            <w:r w:rsidRPr="004D1AFC">
              <w:rPr>
                <w:rFonts w:eastAsia="Symbol"/>
                <w:color w:val="000000"/>
                <w:sz w:val="14"/>
                <w:szCs w:val="14"/>
              </w:rPr>
              <w:t xml:space="preserve">          </w:t>
            </w:r>
            <w:r w:rsidRPr="004D1AFC">
              <w:rPr>
                <w:rFonts w:ascii="Calibri" w:eastAsia="Symbol" w:hAnsi="Calibri" w:cs="Symbol"/>
                <w:color w:val="000000"/>
                <w:sz w:val="16"/>
                <w:szCs w:val="16"/>
              </w:rPr>
              <w:t xml:space="preserve">O. Lamont and R. </w:t>
            </w:r>
            <w:proofErr w:type="spellStart"/>
            <w:r w:rsidRPr="004D1AFC">
              <w:rPr>
                <w:rFonts w:ascii="Calibri" w:eastAsia="Symbol" w:hAnsi="Calibri" w:cs="Symbol"/>
                <w:color w:val="000000"/>
                <w:sz w:val="16"/>
                <w:szCs w:val="16"/>
              </w:rPr>
              <w:t>Thaler</w:t>
            </w:r>
            <w:proofErr w:type="spellEnd"/>
            <w:r w:rsidRPr="004D1AFC">
              <w:rPr>
                <w:rFonts w:ascii="Calibri" w:eastAsia="Symbol" w:hAnsi="Calibri" w:cs="Symbol"/>
                <w:color w:val="000000"/>
                <w:sz w:val="16"/>
                <w:szCs w:val="16"/>
              </w:rPr>
              <w:t xml:space="preserve"> </w:t>
            </w:r>
            <w:r w:rsidRPr="004D1AFC">
              <w:rPr>
                <w:rFonts w:ascii="Calibri" w:eastAsia="Symbol" w:hAnsi="Calibri" w:cs="Symbol"/>
                <w:i/>
                <w:iCs/>
                <w:color w:val="000000"/>
                <w:sz w:val="16"/>
                <w:szCs w:val="16"/>
              </w:rPr>
              <w:t>“Anomalies: The Law of One Price in Financial Markets,”</w:t>
            </w:r>
            <w:r w:rsidRPr="004D1AFC">
              <w:rPr>
                <w:rFonts w:ascii="Calibri" w:eastAsia="Symbol" w:hAnsi="Calibri" w:cs="Symbol"/>
                <w:color w:val="000000"/>
                <w:sz w:val="16"/>
                <w:szCs w:val="16"/>
              </w:rPr>
              <w:t xml:space="preserve"> Journal of Economic Perspectives, vol. 17, 2003 </w:t>
            </w:r>
          </w:p>
        </w:tc>
      </w:tr>
      <w:tr w:rsidR="004D1AFC" w:rsidRPr="004D1AFC" w:rsidTr="004D1AFC">
        <w:trPr>
          <w:trHeight w:val="450"/>
        </w:trPr>
        <w:tc>
          <w:tcPr>
            <w:tcW w:w="900" w:type="dxa"/>
            <w:tcBorders>
              <w:top w:val="nil"/>
              <w:left w:val="nil"/>
              <w:bottom w:val="nil"/>
              <w:right w:val="single" w:sz="8" w:space="0" w:color="000000"/>
            </w:tcBorders>
            <w:shd w:val="clear" w:color="auto" w:fill="auto"/>
            <w:noWrap/>
            <w:hideMark/>
          </w:tcPr>
          <w:p w:rsidR="004D1AFC" w:rsidRPr="004D1AFC" w:rsidRDefault="004D1AFC" w:rsidP="004D1AFC">
            <w:pPr>
              <w:rPr>
                <w:rFonts w:ascii="Calibri" w:hAnsi="Calibri"/>
                <w:color w:val="000000"/>
              </w:rPr>
            </w:pPr>
            <w:r w:rsidRPr="004D1AFC">
              <w:rPr>
                <w:rFonts w:ascii="Calibri" w:hAnsi="Calibri"/>
                <w:color w:val="000000"/>
                <w:sz w:val="22"/>
                <w:szCs w:val="22"/>
              </w:rPr>
              <w:t> </w:t>
            </w:r>
          </w:p>
        </w:tc>
        <w:tc>
          <w:tcPr>
            <w:tcW w:w="3280" w:type="dxa"/>
            <w:tcBorders>
              <w:top w:val="nil"/>
              <w:left w:val="nil"/>
              <w:bottom w:val="nil"/>
              <w:right w:val="single" w:sz="8" w:space="0" w:color="000000"/>
            </w:tcBorders>
            <w:shd w:val="clear" w:color="auto" w:fill="auto"/>
            <w:noWrap/>
            <w:hideMark/>
          </w:tcPr>
          <w:p w:rsidR="004D1AFC" w:rsidRPr="004D1AFC" w:rsidRDefault="004D1AFC" w:rsidP="004D1AFC">
            <w:pPr>
              <w:rPr>
                <w:rFonts w:ascii="Calibri" w:hAnsi="Calibri"/>
                <w:color w:val="000000"/>
              </w:rPr>
            </w:pPr>
            <w:r w:rsidRPr="004D1AFC">
              <w:rPr>
                <w:rFonts w:ascii="Calibri" w:hAnsi="Calibri"/>
                <w:color w:val="000000"/>
                <w:sz w:val="22"/>
                <w:szCs w:val="22"/>
              </w:rPr>
              <w:t> </w:t>
            </w:r>
          </w:p>
        </w:tc>
        <w:tc>
          <w:tcPr>
            <w:tcW w:w="6160" w:type="dxa"/>
            <w:tcBorders>
              <w:top w:val="nil"/>
              <w:left w:val="nil"/>
              <w:bottom w:val="nil"/>
              <w:right w:val="nil"/>
            </w:tcBorders>
            <w:shd w:val="clear" w:color="auto" w:fill="auto"/>
            <w:vAlign w:val="center"/>
            <w:hideMark/>
          </w:tcPr>
          <w:p w:rsidR="004D1AFC" w:rsidRPr="004D1AFC" w:rsidRDefault="004D1AFC" w:rsidP="004D1AFC">
            <w:pPr>
              <w:rPr>
                <w:rFonts w:ascii="Symbol" w:hAnsi="Symbol"/>
                <w:color w:val="000000"/>
                <w:sz w:val="16"/>
                <w:szCs w:val="16"/>
              </w:rPr>
            </w:pPr>
            <w:r w:rsidRPr="004D1AFC">
              <w:rPr>
                <w:rFonts w:ascii="Symbol" w:eastAsia="Symbol" w:hAnsi="Symbol" w:cs="Symbol"/>
                <w:color w:val="000000"/>
                <w:sz w:val="16"/>
                <w:szCs w:val="16"/>
              </w:rPr>
              <w:t></w:t>
            </w:r>
            <w:r w:rsidRPr="004D1AFC">
              <w:rPr>
                <w:rFonts w:eastAsia="Symbol"/>
                <w:color w:val="000000"/>
                <w:sz w:val="14"/>
                <w:szCs w:val="14"/>
              </w:rPr>
              <w:t xml:space="preserve">          </w:t>
            </w:r>
            <w:r w:rsidRPr="004D1AFC">
              <w:rPr>
                <w:rFonts w:ascii="Calibri" w:eastAsia="Symbol" w:hAnsi="Calibri" w:cs="Symbol"/>
                <w:color w:val="000000"/>
                <w:sz w:val="16"/>
                <w:szCs w:val="16"/>
              </w:rPr>
              <w:t xml:space="preserve">M. Mitchell, T. </w:t>
            </w:r>
            <w:proofErr w:type="spellStart"/>
            <w:r w:rsidRPr="004D1AFC">
              <w:rPr>
                <w:rFonts w:ascii="Calibri" w:eastAsia="Symbol" w:hAnsi="Calibri" w:cs="Symbol"/>
                <w:color w:val="000000"/>
                <w:sz w:val="16"/>
                <w:szCs w:val="16"/>
              </w:rPr>
              <w:t>Pulvino</w:t>
            </w:r>
            <w:proofErr w:type="spellEnd"/>
            <w:r w:rsidRPr="004D1AFC">
              <w:rPr>
                <w:rFonts w:ascii="Calibri" w:eastAsia="Symbol" w:hAnsi="Calibri" w:cs="Symbol"/>
                <w:color w:val="000000"/>
                <w:sz w:val="16"/>
                <w:szCs w:val="16"/>
              </w:rPr>
              <w:t xml:space="preserve">, and E. Stafford </w:t>
            </w:r>
            <w:r w:rsidRPr="004D1AFC">
              <w:rPr>
                <w:rFonts w:ascii="Calibri" w:eastAsia="Symbol" w:hAnsi="Calibri" w:cs="Symbol"/>
                <w:i/>
                <w:iCs/>
                <w:color w:val="000000"/>
                <w:sz w:val="16"/>
                <w:szCs w:val="16"/>
              </w:rPr>
              <w:t xml:space="preserve">“Limited Arbitrage in Equity Markets,” </w:t>
            </w:r>
            <w:r w:rsidRPr="004D1AFC">
              <w:rPr>
                <w:rFonts w:ascii="Calibri" w:eastAsia="Symbol" w:hAnsi="Calibri" w:cs="Symbol"/>
                <w:color w:val="000000"/>
                <w:sz w:val="16"/>
                <w:szCs w:val="16"/>
              </w:rPr>
              <w:t>Journal of Finance, vol. LVII, 2002.</w:t>
            </w:r>
          </w:p>
        </w:tc>
      </w:tr>
      <w:tr w:rsidR="004D1AFC" w:rsidRPr="004D1AFC" w:rsidTr="004D1AFC">
        <w:trPr>
          <w:trHeight w:val="465"/>
        </w:trPr>
        <w:tc>
          <w:tcPr>
            <w:tcW w:w="900" w:type="dxa"/>
            <w:tcBorders>
              <w:top w:val="nil"/>
              <w:left w:val="nil"/>
              <w:bottom w:val="single" w:sz="8" w:space="0" w:color="000000"/>
              <w:right w:val="single" w:sz="8" w:space="0" w:color="000000"/>
            </w:tcBorders>
            <w:shd w:val="clear" w:color="auto" w:fill="auto"/>
            <w:noWrap/>
            <w:hideMark/>
          </w:tcPr>
          <w:p w:rsidR="004D1AFC" w:rsidRPr="004D1AFC" w:rsidRDefault="004D1AFC" w:rsidP="004D1AFC">
            <w:pPr>
              <w:rPr>
                <w:rFonts w:ascii="Calibri" w:hAnsi="Calibri"/>
                <w:color w:val="000000"/>
              </w:rPr>
            </w:pPr>
            <w:r w:rsidRPr="004D1AFC">
              <w:rPr>
                <w:rFonts w:ascii="Calibri" w:hAnsi="Calibri"/>
                <w:color w:val="000000"/>
                <w:sz w:val="22"/>
                <w:szCs w:val="22"/>
              </w:rPr>
              <w:t> </w:t>
            </w:r>
          </w:p>
        </w:tc>
        <w:tc>
          <w:tcPr>
            <w:tcW w:w="3280" w:type="dxa"/>
            <w:tcBorders>
              <w:top w:val="nil"/>
              <w:left w:val="nil"/>
              <w:bottom w:val="single" w:sz="8" w:space="0" w:color="000000"/>
              <w:right w:val="single" w:sz="8" w:space="0" w:color="000000"/>
            </w:tcBorders>
            <w:shd w:val="clear" w:color="auto" w:fill="auto"/>
            <w:noWrap/>
            <w:hideMark/>
          </w:tcPr>
          <w:p w:rsidR="004D1AFC" w:rsidRPr="004D1AFC" w:rsidRDefault="004D1AFC" w:rsidP="004D1AFC">
            <w:pPr>
              <w:rPr>
                <w:rFonts w:ascii="Calibri" w:hAnsi="Calibri"/>
                <w:color w:val="000000"/>
              </w:rPr>
            </w:pPr>
            <w:r w:rsidRPr="004D1AFC">
              <w:rPr>
                <w:rFonts w:ascii="Calibri" w:hAnsi="Calibri"/>
                <w:color w:val="000000"/>
                <w:sz w:val="22"/>
                <w:szCs w:val="22"/>
              </w:rPr>
              <w:t> </w:t>
            </w:r>
          </w:p>
        </w:tc>
        <w:tc>
          <w:tcPr>
            <w:tcW w:w="6160" w:type="dxa"/>
            <w:tcBorders>
              <w:top w:val="nil"/>
              <w:left w:val="nil"/>
              <w:bottom w:val="single" w:sz="8" w:space="0" w:color="000000"/>
              <w:right w:val="nil"/>
            </w:tcBorders>
            <w:shd w:val="clear" w:color="auto" w:fill="auto"/>
            <w:vAlign w:val="center"/>
            <w:hideMark/>
          </w:tcPr>
          <w:p w:rsidR="004D1AFC" w:rsidRPr="004D1AFC" w:rsidRDefault="004D1AFC" w:rsidP="004D1AFC">
            <w:pPr>
              <w:rPr>
                <w:rFonts w:ascii="Symbol" w:hAnsi="Symbol"/>
                <w:color w:val="000000"/>
                <w:sz w:val="16"/>
                <w:szCs w:val="16"/>
              </w:rPr>
            </w:pPr>
            <w:r w:rsidRPr="004D1AFC">
              <w:rPr>
                <w:rFonts w:ascii="Symbol" w:eastAsia="Symbol" w:hAnsi="Symbol" w:cs="Symbol"/>
                <w:color w:val="000000"/>
                <w:sz w:val="16"/>
                <w:szCs w:val="16"/>
              </w:rPr>
              <w:t></w:t>
            </w:r>
            <w:r w:rsidRPr="004D1AFC">
              <w:rPr>
                <w:rFonts w:eastAsia="Symbol"/>
                <w:color w:val="000000"/>
                <w:sz w:val="14"/>
                <w:szCs w:val="14"/>
              </w:rPr>
              <w:t xml:space="preserve">          </w:t>
            </w:r>
            <w:r w:rsidRPr="004D1AFC">
              <w:rPr>
                <w:rFonts w:ascii="Calibri" w:eastAsia="Symbol" w:hAnsi="Calibri" w:cs="Symbol"/>
                <w:color w:val="000000"/>
                <w:sz w:val="16"/>
                <w:szCs w:val="16"/>
              </w:rPr>
              <w:t xml:space="preserve">K. Daniel and S. Titman </w:t>
            </w:r>
            <w:r w:rsidRPr="004D1AFC">
              <w:rPr>
                <w:rFonts w:ascii="Calibri" w:eastAsia="Symbol" w:hAnsi="Calibri" w:cs="Symbol"/>
                <w:i/>
                <w:iCs/>
                <w:color w:val="000000"/>
                <w:sz w:val="16"/>
                <w:szCs w:val="16"/>
              </w:rPr>
              <w:t>“Market reactions to tangible and intangible information,”</w:t>
            </w:r>
            <w:r w:rsidRPr="004D1AFC">
              <w:rPr>
                <w:rFonts w:ascii="Calibri" w:eastAsia="Symbol" w:hAnsi="Calibri" w:cs="Symbol"/>
                <w:color w:val="000000"/>
                <w:sz w:val="16"/>
                <w:szCs w:val="16"/>
              </w:rPr>
              <w:t xml:space="preserve"> Journal of Finance, vol. LXI, 2006</w:t>
            </w:r>
          </w:p>
        </w:tc>
      </w:tr>
      <w:tr w:rsidR="004D1AFC" w:rsidRPr="004D1AFC" w:rsidTr="004D1AFC">
        <w:trPr>
          <w:trHeight w:val="450"/>
        </w:trPr>
        <w:tc>
          <w:tcPr>
            <w:tcW w:w="900" w:type="dxa"/>
            <w:tcBorders>
              <w:top w:val="nil"/>
              <w:left w:val="nil"/>
              <w:bottom w:val="nil"/>
              <w:right w:val="single" w:sz="8" w:space="0" w:color="000000"/>
            </w:tcBorders>
            <w:shd w:val="clear" w:color="auto" w:fill="auto"/>
            <w:noWrap/>
            <w:vAlign w:val="center"/>
            <w:hideMark/>
          </w:tcPr>
          <w:p w:rsidR="004D1AFC" w:rsidRPr="004D1AFC" w:rsidRDefault="004D1AFC" w:rsidP="004D1AFC">
            <w:pPr>
              <w:rPr>
                <w:rFonts w:ascii="Calibri" w:hAnsi="Calibri"/>
                <w:color w:val="000000"/>
                <w:sz w:val="16"/>
                <w:szCs w:val="16"/>
              </w:rPr>
            </w:pPr>
            <w:proofErr w:type="spellStart"/>
            <w:r w:rsidRPr="004D1AFC">
              <w:rPr>
                <w:rFonts w:ascii="Calibri" w:hAnsi="Calibri"/>
                <w:color w:val="000000"/>
                <w:sz w:val="16"/>
                <w:szCs w:val="16"/>
              </w:rPr>
              <w:t>Th</w:t>
            </w:r>
            <w:proofErr w:type="spellEnd"/>
            <w:r w:rsidRPr="004D1AFC">
              <w:rPr>
                <w:rFonts w:ascii="Calibri" w:hAnsi="Calibri"/>
                <w:color w:val="000000"/>
                <w:sz w:val="16"/>
                <w:szCs w:val="16"/>
              </w:rPr>
              <w:t xml:space="preserve">, </w:t>
            </w:r>
            <w:r w:rsidR="004D1C9A">
              <w:rPr>
                <w:rFonts w:ascii="Calibri" w:hAnsi="Calibri"/>
                <w:color w:val="000000"/>
                <w:sz w:val="16"/>
                <w:szCs w:val="16"/>
              </w:rPr>
              <w:t>Jan. 29</w:t>
            </w:r>
          </w:p>
        </w:tc>
        <w:tc>
          <w:tcPr>
            <w:tcW w:w="3280" w:type="dxa"/>
            <w:tcBorders>
              <w:top w:val="nil"/>
              <w:left w:val="nil"/>
              <w:bottom w:val="nil"/>
              <w:right w:val="single" w:sz="8" w:space="0" w:color="000000"/>
            </w:tcBorders>
            <w:shd w:val="clear" w:color="auto" w:fill="auto"/>
            <w:noWrap/>
            <w:vAlign w:val="center"/>
            <w:hideMark/>
          </w:tcPr>
          <w:p w:rsidR="004D1AFC" w:rsidRPr="004D1AFC" w:rsidRDefault="004D1AFC" w:rsidP="004D1AFC">
            <w:pPr>
              <w:rPr>
                <w:rFonts w:ascii="Calibri" w:hAnsi="Calibri"/>
                <w:color w:val="000000"/>
                <w:sz w:val="16"/>
                <w:szCs w:val="16"/>
              </w:rPr>
            </w:pPr>
            <w:r w:rsidRPr="004D1AFC">
              <w:rPr>
                <w:rFonts w:ascii="Calibri" w:hAnsi="Calibri"/>
                <w:color w:val="000000"/>
                <w:sz w:val="16"/>
                <w:szCs w:val="16"/>
              </w:rPr>
              <w:t>Quantitative Approaches</w:t>
            </w:r>
          </w:p>
        </w:tc>
        <w:tc>
          <w:tcPr>
            <w:tcW w:w="6160" w:type="dxa"/>
            <w:tcBorders>
              <w:top w:val="nil"/>
              <w:left w:val="nil"/>
              <w:bottom w:val="nil"/>
              <w:right w:val="nil"/>
            </w:tcBorders>
            <w:shd w:val="clear" w:color="auto" w:fill="auto"/>
            <w:vAlign w:val="center"/>
            <w:hideMark/>
          </w:tcPr>
          <w:p w:rsidR="004D1AFC" w:rsidRPr="004D1AFC" w:rsidRDefault="004D1AFC" w:rsidP="004D1AFC">
            <w:pPr>
              <w:rPr>
                <w:rFonts w:ascii="Symbol" w:hAnsi="Symbol"/>
                <w:color w:val="000000"/>
                <w:sz w:val="16"/>
                <w:szCs w:val="16"/>
              </w:rPr>
            </w:pPr>
            <w:r w:rsidRPr="004D1AFC">
              <w:rPr>
                <w:rFonts w:ascii="Symbol" w:eastAsia="Symbol" w:hAnsi="Symbol" w:cs="Symbol"/>
                <w:color w:val="000000"/>
                <w:sz w:val="16"/>
                <w:szCs w:val="16"/>
              </w:rPr>
              <w:t></w:t>
            </w:r>
            <w:r w:rsidRPr="004D1AFC">
              <w:rPr>
                <w:rFonts w:eastAsia="Symbol"/>
                <w:color w:val="000000"/>
                <w:sz w:val="14"/>
                <w:szCs w:val="14"/>
              </w:rPr>
              <w:t xml:space="preserve">          </w:t>
            </w:r>
            <w:r w:rsidRPr="004D1AFC">
              <w:rPr>
                <w:rFonts w:ascii="Calibri" w:eastAsia="Symbol" w:hAnsi="Calibri" w:cs="Symbol"/>
                <w:color w:val="000000"/>
                <w:sz w:val="16"/>
                <w:szCs w:val="16"/>
              </w:rPr>
              <w:t xml:space="preserve">E. </w:t>
            </w:r>
            <w:proofErr w:type="spellStart"/>
            <w:r w:rsidRPr="004D1AFC">
              <w:rPr>
                <w:rFonts w:ascii="Calibri" w:eastAsia="Symbol" w:hAnsi="Calibri" w:cs="Symbol"/>
                <w:color w:val="000000"/>
                <w:sz w:val="16"/>
                <w:szCs w:val="16"/>
              </w:rPr>
              <w:t>Fama</w:t>
            </w:r>
            <w:proofErr w:type="spellEnd"/>
            <w:r w:rsidRPr="004D1AFC">
              <w:rPr>
                <w:rFonts w:ascii="Calibri" w:eastAsia="Symbol" w:hAnsi="Calibri" w:cs="Symbol"/>
                <w:color w:val="000000"/>
                <w:sz w:val="16"/>
                <w:szCs w:val="16"/>
              </w:rPr>
              <w:t xml:space="preserve"> and K. R. French, </w:t>
            </w:r>
            <w:r w:rsidRPr="004D1AFC">
              <w:rPr>
                <w:rFonts w:ascii="Calibri" w:eastAsia="Symbol" w:hAnsi="Calibri" w:cs="Symbol"/>
                <w:i/>
                <w:iCs/>
                <w:color w:val="000000"/>
                <w:sz w:val="16"/>
                <w:szCs w:val="16"/>
              </w:rPr>
              <w:t>“The Cross-Section of Expected Stock Returns,”</w:t>
            </w:r>
            <w:r w:rsidRPr="004D1AFC">
              <w:rPr>
                <w:rFonts w:ascii="Calibri" w:eastAsia="Symbol" w:hAnsi="Calibri" w:cs="Symbol"/>
                <w:color w:val="000000"/>
                <w:sz w:val="16"/>
                <w:szCs w:val="16"/>
              </w:rPr>
              <w:t xml:space="preserve"> Journal of Finance, 1992</w:t>
            </w:r>
          </w:p>
        </w:tc>
      </w:tr>
      <w:tr w:rsidR="004D1AFC" w:rsidRPr="004D1AFC" w:rsidTr="004D1AFC">
        <w:trPr>
          <w:trHeight w:val="450"/>
        </w:trPr>
        <w:tc>
          <w:tcPr>
            <w:tcW w:w="900" w:type="dxa"/>
            <w:tcBorders>
              <w:top w:val="nil"/>
              <w:left w:val="nil"/>
              <w:bottom w:val="nil"/>
              <w:right w:val="single" w:sz="8" w:space="0" w:color="000000"/>
            </w:tcBorders>
            <w:shd w:val="clear" w:color="auto" w:fill="auto"/>
            <w:noWrap/>
            <w:vAlign w:val="center"/>
            <w:hideMark/>
          </w:tcPr>
          <w:p w:rsidR="004D1AFC" w:rsidRPr="004D1AFC" w:rsidRDefault="004D1AFC" w:rsidP="004D1AFC">
            <w:pPr>
              <w:rPr>
                <w:rFonts w:ascii="Calibri" w:hAnsi="Calibri"/>
                <w:color w:val="000000"/>
                <w:sz w:val="16"/>
                <w:szCs w:val="16"/>
              </w:rPr>
            </w:pPr>
            <w:r w:rsidRPr="004D1AFC">
              <w:rPr>
                <w:rFonts w:ascii="Calibri" w:hAnsi="Calibri"/>
                <w:color w:val="000000"/>
                <w:sz w:val="16"/>
                <w:szCs w:val="16"/>
              </w:rPr>
              <w:t> </w:t>
            </w:r>
          </w:p>
        </w:tc>
        <w:tc>
          <w:tcPr>
            <w:tcW w:w="3280" w:type="dxa"/>
            <w:tcBorders>
              <w:top w:val="nil"/>
              <w:left w:val="nil"/>
              <w:bottom w:val="nil"/>
              <w:right w:val="single" w:sz="8" w:space="0" w:color="000000"/>
            </w:tcBorders>
            <w:shd w:val="clear" w:color="auto" w:fill="auto"/>
            <w:noWrap/>
            <w:vAlign w:val="center"/>
            <w:hideMark/>
          </w:tcPr>
          <w:p w:rsidR="004D1AFC" w:rsidRPr="004D1AFC" w:rsidRDefault="004D1AFC" w:rsidP="004D1AFC">
            <w:pPr>
              <w:rPr>
                <w:rFonts w:ascii="Calibri" w:hAnsi="Calibri"/>
                <w:color w:val="000000"/>
                <w:sz w:val="16"/>
                <w:szCs w:val="16"/>
              </w:rPr>
            </w:pPr>
            <w:r w:rsidRPr="004D1AFC">
              <w:rPr>
                <w:rFonts w:ascii="Calibri" w:hAnsi="Calibri"/>
                <w:color w:val="000000"/>
                <w:sz w:val="16"/>
                <w:szCs w:val="16"/>
              </w:rPr>
              <w:t> </w:t>
            </w:r>
          </w:p>
        </w:tc>
        <w:tc>
          <w:tcPr>
            <w:tcW w:w="6160" w:type="dxa"/>
            <w:tcBorders>
              <w:top w:val="nil"/>
              <w:left w:val="nil"/>
              <w:bottom w:val="nil"/>
              <w:right w:val="nil"/>
            </w:tcBorders>
            <w:shd w:val="clear" w:color="auto" w:fill="auto"/>
            <w:vAlign w:val="center"/>
            <w:hideMark/>
          </w:tcPr>
          <w:p w:rsidR="004D1AFC" w:rsidRPr="004D1AFC" w:rsidRDefault="004D1AFC" w:rsidP="004D1AFC">
            <w:pPr>
              <w:rPr>
                <w:rFonts w:ascii="Symbol" w:hAnsi="Symbol"/>
                <w:color w:val="000000"/>
                <w:sz w:val="16"/>
                <w:szCs w:val="16"/>
              </w:rPr>
            </w:pPr>
            <w:r w:rsidRPr="004D1AFC">
              <w:rPr>
                <w:rFonts w:ascii="Symbol" w:eastAsia="Symbol" w:hAnsi="Symbol" w:cs="Symbol"/>
                <w:color w:val="000000"/>
                <w:sz w:val="16"/>
                <w:szCs w:val="16"/>
              </w:rPr>
              <w:t></w:t>
            </w:r>
            <w:r w:rsidRPr="004D1AFC">
              <w:rPr>
                <w:rFonts w:eastAsia="Symbol"/>
                <w:color w:val="000000"/>
                <w:sz w:val="14"/>
                <w:szCs w:val="14"/>
              </w:rPr>
              <w:t xml:space="preserve">          </w:t>
            </w:r>
            <w:r w:rsidRPr="004D1AFC">
              <w:rPr>
                <w:rFonts w:ascii="Calibri" w:eastAsia="Symbol" w:hAnsi="Calibri" w:cs="Symbol"/>
                <w:color w:val="000000"/>
                <w:sz w:val="16"/>
                <w:szCs w:val="16"/>
              </w:rPr>
              <w:t xml:space="preserve">W. </w:t>
            </w:r>
            <w:proofErr w:type="spellStart"/>
            <w:r w:rsidRPr="004D1AFC">
              <w:rPr>
                <w:rFonts w:ascii="Calibri" w:eastAsia="Symbol" w:hAnsi="Calibri" w:cs="Symbol"/>
                <w:color w:val="000000"/>
                <w:sz w:val="16"/>
                <w:szCs w:val="16"/>
              </w:rPr>
              <w:t>DeBondt</w:t>
            </w:r>
            <w:proofErr w:type="spellEnd"/>
            <w:r w:rsidRPr="004D1AFC">
              <w:rPr>
                <w:rFonts w:ascii="Calibri" w:eastAsia="Symbol" w:hAnsi="Calibri" w:cs="Symbol"/>
                <w:color w:val="000000"/>
                <w:sz w:val="16"/>
                <w:szCs w:val="16"/>
              </w:rPr>
              <w:t xml:space="preserve"> and R. </w:t>
            </w:r>
            <w:proofErr w:type="spellStart"/>
            <w:r w:rsidRPr="004D1AFC">
              <w:rPr>
                <w:rFonts w:ascii="Calibri" w:eastAsia="Symbol" w:hAnsi="Calibri" w:cs="Symbol"/>
                <w:color w:val="000000"/>
                <w:sz w:val="16"/>
                <w:szCs w:val="16"/>
              </w:rPr>
              <w:t>Thaler</w:t>
            </w:r>
            <w:proofErr w:type="spellEnd"/>
            <w:r w:rsidRPr="004D1AFC">
              <w:rPr>
                <w:rFonts w:ascii="Calibri" w:eastAsia="Symbol" w:hAnsi="Calibri" w:cs="Symbol"/>
                <w:color w:val="000000"/>
                <w:sz w:val="16"/>
                <w:szCs w:val="16"/>
              </w:rPr>
              <w:t xml:space="preserve">, </w:t>
            </w:r>
            <w:r w:rsidRPr="004D1AFC">
              <w:rPr>
                <w:rFonts w:ascii="Calibri" w:eastAsia="Symbol" w:hAnsi="Calibri" w:cs="Symbol"/>
                <w:i/>
                <w:iCs/>
                <w:color w:val="000000"/>
                <w:sz w:val="16"/>
                <w:szCs w:val="16"/>
              </w:rPr>
              <w:t>“Does the Stock Market Overreact,”</w:t>
            </w:r>
            <w:r w:rsidRPr="004D1AFC">
              <w:rPr>
                <w:rFonts w:ascii="Calibri" w:eastAsia="Symbol" w:hAnsi="Calibri" w:cs="Symbol"/>
                <w:color w:val="000000"/>
                <w:sz w:val="16"/>
                <w:szCs w:val="16"/>
              </w:rPr>
              <w:t xml:space="preserve"> Journal of Finance, 1985; </w:t>
            </w:r>
          </w:p>
        </w:tc>
      </w:tr>
      <w:tr w:rsidR="004D1AFC" w:rsidRPr="004D1AFC" w:rsidTr="004D1AFC">
        <w:trPr>
          <w:trHeight w:val="900"/>
        </w:trPr>
        <w:tc>
          <w:tcPr>
            <w:tcW w:w="900" w:type="dxa"/>
            <w:tcBorders>
              <w:top w:val="nil"/>
              <w:left w:val="nil"/>
              <w:bottom w:val="nil"/>
              <w:right w:val="single" w:sz="8" w:space="0" w:color="000000"/>
            </w:tcBorders>
            <w:shd w:val="clear" w:color="auto" w:fill="auto"/>
            <w:noWrap/>
            <w:vAlign w:val="center"/>
            <w:hideMark/>
          </w:tcPr>
          <w:p w:rsidR="004D1AFC" w:rsidRPr="004D1AFC" w:rsidRDefault="004D1AFC" w:rsidP="004D1AFC">
            <w:pPr>
              <w:rPr>
                <w:rFonts w:ascii="Calibri" w:hAnsi="Calibri"/>
                <w:color w:val="000000"/>
                <w:sz w:val="16"/>
                <w:szCs w:val="16"/>
              </w:rPr>
            </w:pPr>
            <w:r w:rsidRPr="004D1AFC">
              <w:rPr>
                <w:rFonts w:ascii="Calibri" w:hAnsi="Calibri"/>
                <w:color w:val="000000"/>
                <w:sz w:val="16"/>
                <w:szCs w:val="16"/>
              </w:rPr>
              <w:t> </w:t>
            </w:r>
          </w:p>
        </w:tc>
        <w:tc>
          <w:tcPr>
            <w:tcW w:w="3280" w:type="dxa"/>
            <w:tcBorders>
              <w:top w:val="nil"/>
              <w:left w:val="nil"/>
              <w:bottom w:val="nil"/>
              <w:right w:val="single" w:sz="8" w:space="0" w:color="000000"/>
            </w:tcBorders>
            <w:shd w:val="clear" w:color="auto" w:fill="auto"/>
            <w:noWrap/>
            <w:vAlign w:val="center"/>
            <w:hideMark/>
          </w:tcPr>
          <w:p w:rsidR="004D1AFC" w:rsidRPr="004D1AFC" w:rsidRDefault="004D1AFC" w:rsidP="004D1AFC">
            <w:pPr>
              <w:rPr>
                <w:rFonts w:ascii="Calibri" w:hAnsi="Calibri"/>
                <w:color w:val="000000"/>
                <w:sz w:val="16"/>
                <w:szCs w:val="16"/>
              </w:rPr>
            </w:pPr>
            <w:r w:rsidRPr="004D1AFC">
              <w:rPr>
                <w:rFonts w:ascii="Calibri" w:hAnsi="Calibri"/>
                <w:color w:val="000000"/>
                <w:sz w:val="16"/>
                <w:szCs w:val="16"/>
              </w:rPr>
              <w:t> </w:t>
            </w:r>
          </w:p>
        </w:tc>
        <w:tc>
          <w:tcPr>
            <w:tcW w:w="6160" w:type="dxa"/>
            <w:tcBorders>
              <w:top w:val="nil"/>
              <w:left w:val="nil"/>
              <w:bottom w:val="nil"/>
              <w:right w:val="nil"/>
            </w:tcBorders>
            <w:shd w:val="clear" w:color="auto" w:fill="auto"/>
            <w:vAlign w:val="center"/>
            <w:hideMark/>
          </w:tcPr>
          <w:p w:rsidR="004D1AFC" w:rsidRPr="004D1AFC" w:rsidRDefault="004D1AFC" w:rsidP="004D1AFC">
            <w:pPr>
              <w:rPr>
                <w:rFonts w:ascii="Symbol" w:hAnsi="Symbol"/>
                <w:color w:val="000000"/>
                <w:sz w:val="16"/>
                <w:szCs w:val="16"/>
              </w:rPr>
            </w:pPr>
            <w:r w:rsidRPr="004D1AFC">
              <w:rPr>
                <w:rFonts w:ascii="Symbol" w:eastAsia="Symbol" w:hAnsi="Symbol" w:cs="Symbol"/>
                <w:color w:val="000000"/>
                <w:sz w:val="16"/>
                <w:szCs w:val="16"/>
              </w:rPr>
              <w:t></w:t>
            </w:r>
            <w:r w:rsidRPr="004D1AFC">
              <w:rPr>
                <w:rFonts w:eastAsia="Symbol"/>
                <w:color w:val="000000"/>
                <w:sz w:val="14"/>
                <w:szCs w:val="14"/>
              </w:rPr>
              <w:t xml:space="preserve">          </w:t>
            </w:r>
            <w:r w:rsidRPr="004D1AFC">
              <w:rPr>
                <w:rFonts w:ascii="Calibri" w:eastAsia="Symbol" w:hAnsi="Calibri" w:cs="Symbol"/>
                <w:color w:val="000000"/>
                <w:sz w:val="16"/>
                <w:szCs w:val="16"/>
              </w:rPr>
              <w:t xml:space="preserve">J. </w:t>
            </w:r>
            <w:proofErr w:type="spellStart"/>
            <w:r w:rsidRPr="004D1AFC">
              <w:rPr>
                <w:rFonts w:ascii="Calibri" w:eastAsia="Symbol" w:hAnsi="Calibri" w:cs="Symbol"/>
                <w:color w:val="000000"/>
                <w:sz w:val="16"/>
                <w:szCs w:val="16"/>
              </w:rPr>
              <w:t>Lakonishok</w:t>
            </w:r>
            <w:proofErr w:type="spellEnd"/>
            <w:r w:rsidRPr="004D1AFC">
              <w:rPr>
                <w:rFonts w:ascii="Calibri" w:eastAsia="Symbol" w:hAnsi="Calibri" w:cs="Symbol"/>
                <w:color w:val="000000"/>
                <w:sz w:val="16"/>
                <w:szCs w:val="16"/>
              </w:rPr>
              <w:t xml:space="preserve">, A. </w:t>
            </w:r>
            <w:proofErr w:type="spellStart"/>
            <w:r w:rsidRPr="004D1AFC">
              <w:rPr>
                <w:rFonts w:ascii="Calibri" w:eastAsia="Symbol" w:hAnsi="Calibri" w:cs="Symbol"/>
                <w:color w:val="000000"/>
                <w:sz w:val="16"/>
                <w:szCs w:val="16"/>
              </w:rPr>
              <w:t>Shleifer</w:t>
            </w:r>
            <w:proofErr w:type="spellEnd"/>
            <w:r w:rsidRPr="004D1AFC">
              <w:rPr>
                <w:rFonts w:ascii="Calibri" w:eastAsia="Symbol" w:hAnsi="Calibri" w:cs="Symbol"/>
                <w:color w:val="000000"/>
                <w:sz w:val="16"/>
                <w:szCs w:val="16"/>
              </w:rPr>
              <w:t xml:space="preserve"> and R. </w:t>
            </w:r>
            <w:proofErr w:type="spellStart"/>
            <w:r w:rsidRPr="004D1AFC">
              <w:rPr>
                <w:rFonts w:ascii="Calibri" w:eastAsia="Symbol" w:hAnsi="Calibri" w:cs="Symbol"/>
                <w:color w:val="000000"/>
                <w:sz w:val="16"/>
                <w:szCs w:val="16"/>
              </w:rPr>
              <w:t>Vishny</w:t>
            </w:r>
            <w:proofErr w:type="spellEnd"/>
            <w:r w:rsidRPr="004D1AFC">
              <w:rPr>
                <w:rFonts w:ascii="Calibri" w:eastAsia="Symbol" w:hAnsi="Calibri" w:cs="Symbol"/>
                <w:color w:val="000000"/>
                <w:sz w:val="16"/>
                <w:szCs w:val="16"/>
              </w:rPr>
              <w:t xml:space="preserve">, </w:t>
            </w:r>
            <w:r w:rsidRPr="004D1AFC">
              <w:rPr>
                <w:rFonts w:ascii="Calibri" w:eastAsia="Symbol" w:hAnsi="Calibri" w:cs="Symbol"/>
                <w:i/>
                <w:iCs/>
                <w:color w:val="000000"/>
                <w:sz w:val="16"/>
                <w:szCs w:val="16"/>
              </w:rPr>
              <w:t>“Contrarian Investment Returns and the Structure of Risk,”</w:t>
            </w:r>
            <w:r w:rsidRPr="004D1AFC">
              <w:rPr>
                <w:rFonts w:ascii="Calibri" w:eastAsia="Symbol" w:hAnsi="Calibri" w:cs="Symbol"/>
                <w:color w:val="000000"/>
                <w:sz w:val="16"/>
                <w:szCs w:val="16"/>
              </w:rPr>
              <w:t xml:space="preserve"> Journal of Finance, 1994, and </w:t>
            </w:r>
            <w:r w:rsidRPr="004D1AFC">
              <w:rPr>
                <w:rFonts w:ascii="Calibri" w:eastAsia="Symbol" w:hAnsi="Calibri" w:cs="Symbol"/>
                <w:i/>
                <w:iCs/>
                <w:color w:val="000000"/>
                <w:sz w:val="16"/>
                <w:szCs w:val="16"/>
              </w:rPr>
              <w:t>“The Structure and Performance of the Money Management Industry”</w:t>
            </w:r>
            <w:r w:rsidRPr="004D1AFC">
              <w:rPr>
                <w:rFonts w:ascii="Calibri" w:eastAsia="Symbol" w:hAnsi="Calibri" w:cs="Symbol"/>
                <w:color w:val="000000"/>
                <w:sz w:val="16"/>
                <w:szCs w:val="16"/>
              </w:rPr>
              <w:t xml:space="preserve">, Brookings Papers on Economic Activity. Microeconomics, 1992.   </w:t>
            </w:r>
          </w:p>
        </w:tc>
      </w:tr>
      <w:tr w:rsidR="004D1AFC" w:rsidRPr="004D1AFC" w:rsidTr="004D1AFC">
        <w:trPr>
          <w:trHeight w:val="450"/>
        </w:trPr>
        <w:tc>
          <w:tcPr>
            <w:tcW w:w="900" w:type="dxa"/>
            <w:tcBorders>
              <w:top w:val="nil"/>
              <w:left w:val="nil"/>
              <w:bottom w:val="nil"/>
              <w:right w:val="single" w:sz="8" w:space="0" w:color="000000"/>
            </w:tcBorders>
            <w:shd w:val="clear" w:color="auto" w:fill="auto"/>
            <w:noWrap/>
            <w:vAlign w:val="center"/>
            <w:hideMark/>
          </w:tcPr>
          <w:p w:rsidR="004D1AFC" w:rsidRPr="004D1AFC" w:rsidRDefault="004D1AFC" w:rsidP="004D1AFC">
            <w:pPr>
              <w:rPr>
                <w:rFonts w:ascii="Calibri" w:hAnsi="Calibri"/>
                <w:color w:val="000000"/>
                <w:sz w:val="16"/>
                <w:szCs w:val="16"/>
              </w:rPr>
            </w:pPr>
            <w:r w:rsidRPr="004D1AFC">
              <w:rPr>
                <w:rFonts w:ascii="Calibri" w:hAnsi="Calibri"/>
                <w:color w:val="000000"/>
                <w:sz w:val="16"/>
                <w:szCs w:val="16"/>
              </w:rPr>
              <w:t> </w:t>
            </w:r>
          </w:p>
        </w:tc>
        <w:tc>
          <w:tcPr>
            <w:tcW w:w="3280" w:type="dxa"/>
            <w:tcBorders>
              <w:top w:val="nil"/>
              <w:left w:val="nil"/>
              <w:bottom w:val="nil"/>
              <w:right w:val="single" w:sz="8" w:space="0" w:color="000000"/>
            </w:tcBorders>
            <w:shd w:val="clear" w:color="auto" w:fill="auto"/>
            <w:noWrap/>
            <w:vAlign w:val="center"/>
            <w:hideMark/>
          </w:tcPr>
          <w:p w:rsidR="004D1AFC" w:rsidRPr="004D1AFC" w:rsidRDefault="004D1AFC" w:rsidP="004D1AFC">
            <w:pPr>
              <w:rPr>
                <w:rFonts w:ascii="Calibri" w:hAnsi="Calibri"/>
                <w:color w:val="000000"/>
                <w:sz w:val="16"/>
                <w:szCs w:val="16"/>
              </w:rPr>
            </w:pPr>
            <w:r w:rsidRPr="004D1AFC">
              <w:rPr>
                <w:rFonts w:ascii="Calibri" w:hAnsi="Calibri"/>
                <w:color w:val="000000"/>
                <w:sz w:val="16"/>
                <w:szCs w:val="16"/>
              </w:rPr>
              <w:t> </w:t>
            </w:r>
          </w:p>
        </w:tc>
        <w:tc>
          <w:tcPr>
            <w:tcW w:w="6160" w:type="dxa"/>
            <w:tcBorders>
              <w:top w:val="nil"/>
              <w:left w:val="nil"/>
              <w:bottom w:val="nil"/>
              <w:right w:val="nil"/>
            </w:tcBorders>
            <w:shd w:val="clear" w:color="auto" w:fill="auto"/>
            <w:vAlign w:val="center"/>
            <w:hideMark/>
          </w:tcPr>
          <w:p w:rsidR="004D1AFC" w:rsidRPr="004D1AFC" w:rsidRDefault="004D1AFC" w:rsidP="004D1AFC">
            <w:pPr>
              <w:rPr>
                <w:rFonts w:ascii="Symbol" w:hAnsi="Symbol"/>
                <w:color w:val="000000"/>
                <w:sz w:val="16"/>
                <w:szCs w:val="16"/>
              </w:rPr>
            </w:pPr>
            <w:r w:rsidRPr="004D1AFC">
              <w:rPr>
                <w:rFonts w:ascii="Symbol" w:eastAsia="Symbol" w:hAnsi="Symbol" w:cs="Symbol"/>
                <w:color w:val="000000"/>
                <w:sz w:val="16"/>
                <w:szCs w:val="16"/>
              </w:rPr>
              <w:t></w:t>
            </w:r>
            <w:r w:rsidRPr="004D1AFC">
              <w:rPr>
                <w:rFonts w:eastAsia="Symbol"/>
                <w:color w:val="000000"/>
                <w:sz w:val="14"/>
                <w:szCs w:val="14"/>
              </w:rPr>
              <w:t xml:space="preserve">          </w:t>
            </w:r>
            <w:r w:rsidRPr="004D1AFC">
              <w:rPr>
                <w:rFonts w:ascii="Calibri" w:eastAsia="Symbol" w:hAnsi="Calibri" w:cs="Symbol"/>
                <w:color w:val="000000"/>
                <w:sz w:val="16"/>
                <w:szCs w:val="16"/>
              </w:rPr>
              <w:t xml:space="preserve">N. </w:t>
            </w:r>
            <w:proofErr w:type="spellStart"/>
            <w:r w:rsidRPr="004D1AFC">
              <w:rPr>
                <w:rFonts w:ascii="Calibri" w:eastAsia="Symbol" w:hAnsi="Calibri" w:cs="Symbol"/>
                <w:color w:val="000000"/>
                <w:sz w:val="16"/>
                <w:szCs w:val="16"/>
              </w:rPr>
              <w:t>Jegadeesh</w:t>
            </w:r>
            <w:proofErr w:type="spellEnd"/>
            <w:r w:rsidRPr="004D1AFC">
              <w:rPr>
                <w:rFonts w:ascii="Calibri" w:eastAsia="Symbol" w:hAnsi="Calibri" w:cs="Symbol"/>
                <w:color w:val="000000"/>
                <w:sz w:val="16"/>
                <w:szCs w:val="16"/>
              </w:rPr>
              <w:t xml:space="preserve"> and S. Titman, “</w:t>
            </w:r>
            <w:r w:rsidRPr="004D1AFC">
              <w:rPr>
                <w:rFonts w:ascii="Calibri" w:eastAsia="Symbol" w:hAnsi="Calibri" w:cs="Symbol"/>
                <w:i/>
                <w:iCs/>
                <w:color w:val="000000"/>
                <w:sz w:val="16"/>
                <w:szCs w:val="16"/>
              </w:rPr>
              <w:t xml:space="preserve">Returns to buying winners and selling losers: Implications for Stock Market Efficiency,” </w:t>
            </w:r>
            <w:r w:rsidRPr="004D1AFC">
              <w:rPr>
                <w:rFonts w:ascii="Calibri" w:eastAsia="Symbol" w:hAnsi="Calibri" w:cs="Symbol"/>
                <w:color w:val="000000"/>
                <w:sz w:val="16"/>
                <w:szCs w:val="16"/>
              </w:rPr>
              <w:t xml:space="preserve"> Journal of Finance, 1993</w:t>
            </w:r>
          </w:p>
        </w:tc>
      </w:tr>
      <w:tr w:rsidR="004D1AFC" w:rsidRPr="004D1AFC" w:rsidTr="004D1AFC">
        <w:trPr>
          <w:trHeight w:val="465"/>
        </w:trPr>
        <w:tc>
          <w:tcPr>
            <w:tcW w:w="900" w:type="dxa"/>
            <w:tcBorders>
              <w:top w:val="nil"/>
              <w:left w:val="nil"/>
              <w:bottom w:val="single" w:sz="8" w:space="0" w:color="000000"/>
              <w:right w:val="single" w:sz="8" w:space="0" w:color="000000"/>
            </w:tcBorders>
            <w:shd w:val="clear" w:color="auto" w:fill="auto"/>
            <w:noWrap/>
            <w:vAlign w:val="center"/>
            <w:hideMark/>
          </w:tcPr>
          <w:p w:rsidR="004D1AFC" w:rsidRPr="004D1AFC" w:rsidRDefault="004D1AFC" w:rsidP="004D1AFC">
            <w:pPr>
              <w:rPr>
                <w:rFonts w:ascii="Calibri" w:hAnsi="Calibri"/>
                <w:color w:val="000000"/>
                <w:sz w:val="16"/>
                <w:szCs w:val="16"/>
              </w:rPr>
            </w:pPr>
            <w:r w:rsidRPr="004D1AFC">
              <w:rPr>
                <w:rFonts w:ascii="Calibri" w:hAnsi="Calibri"/>
                <w:color w:val="000000"/>
                <w:sz w:val="16"/>
                <w:szCs w:val="16"/>
              </w:rPr>
              <w:t> </w:t>
            </w:r>
          </w:p>
        </w:tc>
        <w:tc>
          <w:tcPr>
            <w:tcW w:w="3280" w:type="dxa"/>
            <w:tcBorders>
              <w:top w:val="nil"/>
              <w:left w:val="nil"/>
              <w:bottom w:val="single" w:sz="8" w:space="0" w:color="000000"/>
              <w:right w:val="single" w:sz="8" w:space="0" w:color="000000"/>
            </w:tcBorders>
            <w:shd w:val="clear" w:color="auto" w:fill="auto"/>
            <w:noWrap/>
            <w:vAlign w:val="center"/>
            <w:hideMark/>
          </w:tcPr>
          <w:p w:rsidR="004D1AFC" w:rsidRPr="004D1AFC" w:rsidRDefault="004D1AFC" w:rsidP="004D1AFC">
            <w:pPr>
              <w:rPr>
                <w:rFonts w:ascii="Calibri" w:hAnsi="Calibri"/>
                <w:color w:val="000000"/>
                <w:sz w:val="16"/>
                <w:szCs w:val="16"/>
              </w:rPr>
            </w:pPr>
            <w:r w:rsidRPr="004D1AFC">
              <w:rPr>
                <w:rFonts w:ascii="Calibri" w:hAnsi="Calibri"/>
                <w:color w:val="000000"/>
                <w:sz w:val="16"/>
                <w:szCs w:val="16"/>
              </w:rPr>
              <w:t> </w:t>
            </w:r>
          </w:p>
        </w:tc>
        <w:tc>
          <w:tcPr>
            <w:tcW w:w="6160" w:type="dxa"/>
            <w:tcBorders>
              <w:top w:val="nil"/>
              <w:left w:val="nil"/>
              <w:bottom w:val="single" w:sz="8" w:space="0" w:color="000000"/>
              <w:right w:val="nil"/>
            </w:tcBorders>
            <w:shd w:val="clear" w:color="auto" w:fill="auto"/>
            <w:vAlign w:val="center"/>
            <w:hideMark/>
          </w:tcPr>
          <w:p w:rsidR="004D1AFC" w:rsidRPr="004D1AFC" w:rsidRDefault="004D1AFC" w:rsidP="004D1AFC">
            <w:pPr>
              <w:rPr>
                <w:rFonts w:ascii="Symbol" w:hAnsi="Symbol"/>
                <w:color w:val="000000"/>
                <w:sz w:val="16"/>
                <w:szCs w:val="16"/>
              </w:rPr>
            </w:pPr>
            <w:r w:rsidRPr="004D1AFC">
              <w:rPr>
                <w:rFonts w:ascii="Symbol" w:eastAsia="Symbol" w:hAnsi="Symbol" w:cs="Symbol"/>
                <w:color w:val="000000"/>
                <w:sz w:val="16"/>
                <w:szCs w:val="16"/>
              </w:rPr>
              <w:t></w:t>
            </w:r>
            <w:r w:rsidRPr="004D1AFC">
              <w:rPr>
                <w:rFonts w:eastAsia="Symbol"/>
                <w:color w:val="000000"/>
                <w:sz w:val="14"/>
                <w:szCs w:val="14"/>
              </w:rPr>
              <w:t xml:space="preserve">          </w:t>
            </w:r>
            <w:r w:rsidRPr="004D1AFC">
              <w:rPr>
                <w:rFonts w:ascii="Calibri" w:eastAsia="Symbol" w:hAnsi="Calibri" w:cs="Symbol"/>
                <w:color w:val="000000"/>
                <w:sz w:val="16"/>
                <w:szCs w:val="16"/>
              </w:rPr>
              <w:t xml:space="preserve">C. </w:t>
            </w:r>
            <w:proofErr w:type="spellStart"/>
            <w:r w:rsidRPr="004D1AFC">
              <w:rPr>
                <w:rFonts w:ascii="Calibri" w:eastAsia="Symbol" w:hAnsi="Calibri" w:cs="Symbol"/>
                <w:color w:val="000000"/>
                <w:sz w:val="16"/>
                <w:szCs w:val="16"/>
              </w:rPr>
              <w:t>Asness</w:t>
            </w:r>
            <w:proofErr w:type="spellEnd"/>
            <w:r w:rsidRPr="004D1AFC">
              <w:rPr>
                <w:rFonts w:ascii="Calibri" w:eastAsia="Symbol" w:hAnsi="Calibri" w:cs="Symbol"/>
                <w:color w:val="000000"/>
                <w:sz w:val="16"/>
                <w:szCs w:val="16"/>
              </w:rPr>
              <w:t xml:space="preserve">, T. Moskowitz and L. Pedersen </w:t>
            </w:r>
            <w:r w:rsidRPr="004D1AFC">
              <w:rPr>
                <w:rFonts w:ascii="Calibri" w:eastAsia="Symbol" w:hAnsi="Calibri" w:cs="Symbol"/>
                <w:i/>
                <w:iCs/>
                <w:color w:val="000000"/>
                <w:sz w:val="16"/>
                <w:szCs w:val="16"/>
              </w:rPr>
              <w:t xml:space="preserve">“Value and Momentum Everywhere,” </w:t>
            </w:r>
            <w:r w:rsidRPr="004D1AFC">
              <w:rPr>
                <w:rFonts w:ascii="Calibri" w:eastAsia="Symbol" w:hAnsi="Calibri" w:cs="Symbol"/>
                <w:color w:val="000000"/>
                <w:sz w:val="16"/>
                <w:szCs w:val="16"/>
              </w:rPr>
              <w:t>Chicago Booth Paper No. 12-53, 2012</w:t>
            </w:r>
          </w:p>
        </w:tc>
      </w:tr>
      <w:tr w:rsidR="004D1AFC" w:rsidRPr="004D1AFC" w:rsidTr="004D1AFC">
        <w:trPr>
          <w:trHeight w:val="585"/>
        </w:trPr>
        <w:tc>
          <w:tcPr>
            <w:tcW w:w="900" w:type="dxa"/>
            <w:tcBorders>
              <w:top w:val="nil"/>
              <w:left w:val="nil"/>
              <w:bottom w:val="nil"/>
              <w:right w:val="single" w:sz="8" w:space="0" w:color="000000"/>
            </w:tcBorders>
            <w:shd w:val="clear" w:color="auto" w:fill="auto"/>
            <w:noWrap/>
            <w:vAlign w:val="center"/>
            <w:hideMark/>
          </w:tcPr>
          <w:p w:rsidR="004D1AFC" w:rsidRPr="004D1AFC" w:rsidRDefault="004D1C9A" w:rsidP="004D1AFC">
            <w:pPr>
              <w:rPr>
                <w:rFonts w:ascii="Calibri" w:hAnsi="Calibri"/>
                <w:color w:val="000000"/>
                <w:sz w:val="16"/>
                <w:szCs w:val="16"/>
              </w:rPr>
            </w:pPr>
            <w:r>
              <w:rPr>
                <w:rFonts w:ascii="Calibri" w:hAnsi="Calibri"/>
                <w:color w:val="000000"/>
                <w:sz w:val="16"/>
                <w:szCs w:val="16"/>
              </w:rPr>
              <w:lastRenderedPageBreak/>
              <w:t>Tu., Feb. 3</w:t>
            </w:r>
          </w:p>
        </w:tc>
        <w:tc>
          <w:tcPr>
            <w:tcW w:w="3280" w:type="dxa"/>
            <w:tcBorders>
              <w:top w:val="nil"/>
              <w:left w:val="nil"/>
              <w:bottom w:val="nil"/>
              <w:right w:val="single" w:sz="8" w:space="0" w:color="000000"/>
            </w:tcBorders>
            <w:shd w:val="clear" w:color="auto" w:fill="auto"/>
            <w:noWrap/>
            <w:vAlign w:val="center"/>
            <w:hideMark/>
          </w:tcPr>
          <w:p w:rsidR="004D1AFC" w:rsidRPr="004D1AFC" w:rsidRDefault="004D1AFC" w:rsidP="004D1AFC">
            <w:pPr>
              <w:rPr>
                <w:rFonts w:ascii="Calibri" w:hAnsi="Calibri"/>
                <w:color w:val="000000"/>
                <w:sz w:val="16"/>
                <w:szCs w:val="16"/>
              </w:rPr>
            </w:pPr>
            <w:r w:rsidRPr="004D1AFC">
              <w:rPr>
                <w:rFonts w:ascii="Calibri" w:hAnsi="Calibri"/>
                <w:color w:val="000000"/>
                <w:sz w:val="16"/>
                <w:szCs w:val="16"/>
              </w:rPr>
              <w:t>Basic Valuation</w:t>
            </w:r>
          </w:p>
        </w:tc>
        <w:tc>
          <w:tcPr>
            <w:tcW w:w="6160" w:type="dxa"/>
            <w:tcBorders>
              <w:top w:val="nil"/>
              <w:left w:val="nil"/>
              <w:bottom w:val="nil"/>
              <w:right w:val="nil"/>
            </w:tcBorders>
            <w:shd w:val="clear" w:color="auto" w:fill="auto"/>
            <w:vAlign w:val="center"/>
            <w:hideMark/>
          </w:tcPr>
          <w:p w:rsidR="004D1AFC" w:rsidRPr="004D1AFC" w:rsidRDefault="004D1AFC" w:rsidP="004D1AFC">
            <w:pPr>
              <w:rPr>
                <w:rFonts w:ascii="Symbol" w:hAnsi="Symbol"/>
                <w:color w:val="000000"/>
                <w:sz w:val="16"/>
                <w:szCs w:val="16"/>
              </w:rPr>
            </w:pPr>
            <w:r w:rsidRPr="004D1AFC">
              <w:rPr>
                <w:rFonts w:ascii="Symbol" w:eastAsia="Symbol" w:hAnsi="Symbol" w:cs="Symbol"/>
                <w:color w:val="000000"/>
                <w:sz w:val="16"/>
                <w:szCs w:val="16"/>
              </w:rPr>
              <w:t></w:t>
            </w:r>
            <w:r w:rsidRPr="004D1AFC">
              <w:rPr>
                <w:rFonts w:eastAsia="Symbol"/>
                <w:color w:val="000000"/>
                <w:sz w:val="14"/>
                <w:szCs w:val="14"/>
              </w:rPr>
              <w:t xml:space="preserve">          </w:t>
            </w:r>
            <w:r w:rsidRPr="004D1AFC">
              <w:rPr>
                <w:rFonts w:ascii="Calibri" w:eastAsia="Symbol" w:hAnsi="Calibri" w:cs="Symbol"/>
                <w:b/>
                <w:bCs/>
                <w:color w:val="000000"/>
                <w:sz w:val="16"/>
                <w:szCs w:val="16"/>
              </w:rPr>
              <w:t>II</w:t>
            </w:r>
            <w:r w:rsidRPr="004D1AFC">
              <w:rPr>
                <w:rFonts w:ascii="Calibri" w:eastAsia="Symbol" w:hAnsi="Calibri" w:cs="Symbol"/>
                <w:color w:val="000000"/>
                <w:sz w:val="16"/>
                <w:szCs w:val="16"/>
              </w:rPr>
              <w:t xml:space="preserve">, </w:t>
            </w:r>
            <w:proofErr w:type="spellStart"/>
            <w:r w:rsidRPr="004D1AFC">
              <w:rPr>
                <w:rFonts w:ascii="Calibri" w:eastAsia="Symbol" w:hAnsi="Calibri" w:cs="Symbol"/>
                <w:color w:val="000000"/>
                <w:sz w:val="16"/>
                <w:szCs w:val="16"/>
              </w:rPr>
              <w:t>Chpts</w:t>
            </w:r>
            <w:proofErr w:type="spellEnd"/>
            <w:r w:rsidRPr="004D1AFC">
              <w:rPr>
                <w:rFonts w:ascii="Calibri" w:eastAsia="Symbol" w:hAnsi="Calibri" w:cs="Symbol"/>
                <w:color w:val="000000"/>
                <w:sz w:val="16"/>
                <w:szCs w:val="16"/>
              </w:rPr>
              <w:t>. 12</w:t>
            </w:r>
            <w:proofErr w:type="gramStart"/>
            <w:r w:rsidRPr="004D1AFC">
              <w:rPr>
                <w:rFonts w:ascii="Calibri" w:eastAsia="Symbol" w:hAnsi="Calibri" w:cs="Symbol"/>
                <w:color w:val="000000"/>
                <w:sz w:val="16"/>
                <w:szCs w:val="16"/>
              </w:rPr>
              <w:t>,20</w:t>
            </w:r>
            <w:proofErr w:type="gramEnd"/>
            <w:r w:rsidRPr="004D1AFC">
              <w:rPr>
                <w:rFonts w:ascii="Calibri" w:eastAsia="Symbol" w:hAnsi="Calibri" w:cs="Symbol"/>
                <w:color w:val="000000"/>
                <w:sz w:val="16"/>
                <w:szCs w:val="16"/>
              </w:rPr>
              <w:t xml:space="preserve">; </w:t>
            </w:r>
            <w:r w:rsidRPr="004D1AFC">
              <w:rPr>
                <w:rFonts w:ascii="Calibri" w:eastAsia="Symbol" w:hAnsi="Calibri" w:cs="Symbol"/>
                <w:b/>
                <w:bCs/>
                <w:color w:val="000000"/>
                <w:sz w:val="16"/>
                <w:szCs w:val="16"/>
              </w:rPr>
              <w:t>VI</w:t>
            </w:r>
            <w:r w:rsidRPr="004D1AFC">
              <w:rPr>
                <w:rFonts w:ascii="Calibri" w:eastAsia="Symbol" w:hAnsi="Calibri" w:cs="Symbol"/>
                <w:color w:val="000000"/>
                <w:sz w:val="16"/>
                <w:szCs w:val="16"/>
              </w:rPr>
              <w:t xml:space="preserve"> </w:t>
            </w:r>
            <w:proofErr w:type="spellStart"/>
            <w:r w:rsidRPr="004D1AFC">
              <w:rPr>
                <w:rFonts w:ascii="Calibri" w:eastAsia="Symbol" w:hAnsi="Calibri" w:cs="Symbol"/>
                <w:color w:val="000000"/>
                <w:sz w:val="16"/>
                <w:szCs w:val="16"/>
              </w:rPr>
              <w:t>Chpts</w:t>
            </w:r>
            <w:proofErr w:type="spellEnd"/>
            <w:r w:rsidRPr="004D1AFC">
              <w:rPr>
                <w:rFonts w:ascii="Calibri" w:eastAsia="Symbol" w:hAnsi="Calibri" w:cs="Symbol"/>
                <w:color w:val="000000"/>
                <w:sz w:val="16"/>
                <w:szCs w:val="16"/>
              </w:rPr>
              <w:t xml:space="preserve"> 6-8. </w:t>
            </w:r>
          </w:p>
        </w:tc>
      </w:tr>
      <w:tr w:rsidR="004D1AFC" w:rsidRPr="004D1AFC" w:rsidTr="004D1AFC">
        <w:trPr>
          <w:trHeight w:val="189"/>
        </w:trPr>
        <w:tc>
          <w:tcPr>
            <w:tcW w:w="900" w:type="dxa"/>
            <w:tcBorders>
              <w:top w:val="nil"/>
              <w:left w:val="nil"/>
              <w:bottom w:val="single" w:sz="8" w:space="0" w:color="000000"/>
              <w:right w:val="single" w:sz="8" w:space="0" w:color="000000"/>
            </w:tcBorders>
            <w:shd w:val="clear" w:color="auto" w:fill="auto"/>
            <w:noWrap/>
            <w:vAlign w:val="center"/>
            <w:hideMark/>
          </w:tcPr>
          <w:p w:rsidR="004D1AFC" w:rsidRPr="004D1AFC" w:rsidRDefault="004D1AFC" w:rsidP="004D1AFC">
            <w:pPr>
              <w:rPr>
                <w:rFonts w:ascii="Calibri" w:hAnsi="Calibri"/>
                <w:color w:val="000000"/>
                <w:sz w:val="16"/>
                <w:szCs w:val="16"/>
              </w:rPr>
            </w:pPr>
            <w:r w:rsidRPr="004D1AFC">
              <w:rPr>
                <w:rFonts w:ascii="Calibri" w:hAnsi="Calibri"/>
                <w:color w:val="000000"/>
                <w:sz w:val="16"/>
                <w:szCs w:val="16"/>
              </w:rPr>
              <w:t> </w:t>
            </w:r>
          </w:p>
        </w:tc>
        <w:tc>
          <w:tcPr>
            <w:tcW w:w="3280" w:type="dxa"/>
            <w:tcBorders>
              <w:top w:val="nil"/>
              <w:left w:val="nil"/>
              <w:bottom w:val="single" w:sz="8" w:space="0" w:color="000000"/>
              <w:right w:val="single" w:sz="8" w:space="0" w:color="000000"/>
            </w:tcBorders>
            <w:shd w:val="clear" w:color="auto" w:fill="auto"/>
            <w:noWrap/>
            <w:vAlign w:val="center"/>
            <w:hideMark/>
          </w:tcPr>
          <w:p w:rsidR="004D1AFC" w:rsidRPr="004D1AFC" w:rsidRDefault="004D1AFC" w:rsidP="004D1AFC">
            <w:pPr>
              <w:rPr>
                <w:rFonts w:ascii="Calibri" w:hAnsi="Calibri"/>
                <w:color w:val="000000"/>
                <w:sz w:val="16"/>
                <w:szCs w:val="16"/>
              </w:rPr>
            </w:pPr>
            <w:r w:rsidRPr="004D1AFC">
              <w:rPr>
                <w:rFonts w:ascii="Calibri" w:hAnsi="Calibri"/>
                <w:color w:val="000000"/>
                <w:sz w:val="16"/>
                <w:szCs w:val="16"/>
              </w:rPr>
              <w:t> </w:t>
            </w:r>
          </w:p>
        </w:tc>
        <w:tc>
          <w:tcPr>
            <w:tcW w:w="6160" w:type="dxa"/>
            <w:tcBorders>
              <w:top w:val="nil"/>
              <w:left w:val="nil"/>
              <w:bottom w:val="single" w:sz="8" w:space="0" w:color="000000"/>
              <w:right w:val="nil"/>
            </w:tcBorders>
            <w:shd w:val="clear" w:color="auto" w:fill="auto"/>
            <w:vAlign w:val="center"/>
            <w:hideMark/>
          </w:tcPr>
          <w:p w:rsidR="004D1AFC" w:rsidRPr="004D1AFC" w:rsidRDefault="004D1AFC" w:rsidP="004D1AFC">
            <w:pPr>
              <w:rPr>
                <w:rFonts w:ascii="Symbol" w:hAnsi="Symbol"/>
                <w:color w:val="000000"/>
                <w:sz w:val="16"/>
                <w:szCs w:val="16"/>
              </w:rPr>
            </w:pPr>
            <w:r w:rsidRPr="004D1AFC">
              <w:rPr>
                <w:rFonts w:ascii="Symbol"/>
                <w:color w:val="000000"/>
                <w:sz w:val="16"/>
                <w:szCs w:val="16"/>
              </w:rPr>
              <w:t> </w:t>
            </w:r>
          </w:p>
        </w:tc>
      </w:tr>
      <w:tr w:rsidR="004D1AFC" w:rsidRPr="004D1AFC" w:rsidTr="004D1AFC">
        <w:trPr>
          <w:trHeight w:val="315"/>
        </w:trPr>
        <w:tc>
          <w:tcPr>
            <w:tcW w:w="900" w:type="dxa"/>
            <w:tcBorders>
              <w:top w:val="nil"/>
              <w:left w:val="nil"/>
              <w:bottom w:val="single" w:sz="8" w:space="0" w:color="000000"/>
              <w:right w:val="single" w:sz="8" w:space="0" w:color="000000"/>
            </w:tcBorders>
            <w:shd w:val="clear" w:color="auto" w:fill="auto"/>
            <w:noWrap/>
            <w:vAlign w:val="center"/>
            <w:hideMark/>
          </w:tcPr>
          <w:p w:rsidR="004D1AFC" w:rsidRPr="004D1AFC" w:rsidRDefault="004D1C9A" w:rsidP="004D1AFC">
            <w:pPr>
              <w:rPr>
                <w:rFonts w:ascii="Calibri" w:hAnsi="Calibri"/>
                <w:color w:val="000000"/>
                <w:sz w:val="16"/>
                <w:szCs w:val="16"/>
              </w:rPr>
            </w:pPr>
            <w:r>
              <w:rPr>
                <w:rFonts w:ascii="Calibri" w:hAnsi="Calibri"/>
                <w:color w:val="000000"/>
                <w:sz w:val="16"/>
                <w:szCs w:val="16"/>
              </w:rPr>
              <w:t>Th. Feb. 5</w:t>
            </w:r>
          </w:p>
        </w:tc>
        <w:tc>
          <w:tcPr>
            <w:tcW w:w="3280" w:type="dxa"/>
            <w:tcBorders>
              <w:top w:val="nil"/>
              <w:left w:val="nil"/>
              <w:bottom w:val="single" w:sz="8" w:space="0" w:color="000000"/>
              <w:right w:val="single" w:sz="8" w:space="0" w:color="000000"/>
            </w:tcBorders>
            <w:shd w:val="clear" w:color="auto" w:fill="auto"/>
            <w:noWrap/>
            <w:vAlign w:val="center"/>
            <w:hideMark/>
          </w:tcPr>
          <w:p w:rsidR="004D1AFC" w:rsidRPr="004D1AFC" w:rsidRDefault="004D1AFC" w:rsidP="004D1AFC">
            <w:pPr>
              <w:rPr>
                <w:rFonts w:ascii="Calibri" w:hAnsi="Calibri"/>
                <w:color w:val="000000"/>
                <w:sz w:val="16"/>
                <w:szCs w:val="16"/>
              </w:rPr>
            </w:pPr>
            <w:r w:rsidRPr="004D1AFC">
              <w:rPr>
                <w:rFonts w:ascii="Calibri" w:hAnsi="Calibri"/>
                <w:color w:val="000000"/>
                <w:sz w:val="16"/>
                <w:szCs w:val="16"/>
              </w:rPr>
              <w:t xml:space="preserve">Hudson General Valuation  </w:t>
            </w:r>
          </w:p>
        </w:tc>
        <w:tc>
          <w:tcPr>
            <w:tcW w:w="6160" w:type="dxa"/>
            <w:tcBorders>
              <w:top w:val="nil"/>
              <w:left w:val="nil"/>
              <w:bottom w:val="single" w:sz="8" w:space="0" w:color="000000"/>
              <w:right w:val="nil"/>
            </w:tcBorders>
            <w:shd w:val="clear" w:color="auto" w:fill="auto"/>
            <w:vAlign w:val="center"/>
            <w:hideMark/>
          </w:tcPr>
          <w:p w:rsidR="004D1AFC" w:rsidRPr="004D1AFC" w:rsidRDefault="004D1AFC" w:rsidP="004D1AFC">
            <w:pPr>
              <w:rPr>
                <w:rFonts w:ascii="Calibri" w:hAnsi="Calibri"/>
                <w:color w:val="000000"/>
                <w:sz w:val="16"/>
                <w:szCs w:val="16"/>
              </w:rPr>
            </w:pPr>
            <w:r w:rsidRPr="004D1AFC">
              <w:rPr>
                <w:rFonts w:ascii="Calibri" w:hAnsi="Calibri"/>
                <w:color w:val="000000"/>
                <w:sz w:val="16"/>
                <w:szCs w:val="16"/>
              </w:rPr>
              <w:t xml:space="preserve">Hudson General 1998 Annual Report  </w:t>
            </w:r>
          </w:p>
        </w:tc>
      </w:tr>
      <w:tr w:rsidR="004D1AFC" w:rsidRPr="004D1AFC" w:rsidTr="004D1AFC">
        <w:trPr>
          <w:trHeight w:val="315"/>
        </w:trPr>
        <w:tc>
          <w:tcPr>
            <w:tcW w:w="900" w:type="dxa"/>
            <w:tcBorders>
              <w:top w:val="nil"/>
              <w:left w:val="nil"/>
              <w:bottom w:val="single" w:sz="8" w:space="0" w:color="000000"/>
              <w:right w:val="single" w:sz="8" w:space="0" w:color="000000"/>
            </w:tcBorders>
            <w:shd w:val="clear" w:color="auto" w:fill="auto"/>
            <w:noWrap/>
            <w:vAlign w:val="center"/>
            <w:hideMark/>
          </w:tcPr>
          <w:p w:rsidR="004D1AFC" w:rsidRPr="004D1AFC" w:rsidRDefault="004D1C9A" w:rsidP="004D1AFC">
            <w:pPr>
              <w:rPr>
                <w:rFonts w:ascii="Calibri" w:hAnsi="Calibri"/>
                <w:color w:val="000000"/>
                <w:sz w:val="16"/>
                <w:szCs w:val="16"/>
              </w:rPr>
            </w:pPr>
            <w:r>
              <w:rPr>
                <w:rFonts w:ascii="Calibri" w:hAnsi="Calibri"/>
                <w:color w:val="000000"/>
                <w:sz w:val="16"/>
                <w:szCs w:val="16"/>
              </w:rPr>
              <w:t>Tu. Feb. 10</w:t>
            </w:r>
          </w:p>
        </w:tc>
        <w:tc>
          <w:tcPr>
            <w:tcW w:w="3280" w:type="dxa"/>
            <w:tcBorders>
              <w:top w:val="nil"/>
              <w:left w:val="nil"/>
              <w:bottom w:val="single" w:sz="8" w:space="0" w:color="000000"/>
              <w:right w:val="single" w:sz="8" w:space="0" w:color="000000"/>
            </w:tcBorders>
            <w:shd w:val="clear" w:color="auto" w:fill="auto"/>
            <w:noWrap/>
            <w:vAlign w:val="center"/>
            <w:hideMark/>
          </w:tcPr>
          <w:p w:rsidR="004D1AFC" w:rsidRPr="004D1AFC" w:rsidRDefault="004D1AFC" w:rsidP="004D1AFC">
            <w:pPr>
              <w:rPr>
                <w:rFonts w:ascii="Calibri" w:hAnsi="Calibri"/>
                <w:color w:val="000000"/>
                <w:sz w:val="16"/>
                <w:szCs w:val="16"/>
              </w:rPr>
            </w:pPr>
            <w:r w:rsidRPr="004D1AFC">
              <w:rPr>
                <w:rFonts w:ascii="Calibri" w:hAnsi="Calibri"/>
                <w:color w:val="000000"/>
                <w:sz w:val="16"/>
                <w:szCs w:val="16"/>
              </w:rPr>
              <w:t>Magna International</w:t>
            </w:r>
          </w:p>
        </w:tc>
        <w:tc>
          <w:tcPr>
            <w:tcW w:w="6160" w:type="dxa"/>
            <w:tcBorders>
              <w:top w:val="nil"/>
              <w:left w:val="nil"/>
              <w:bottom w:val="single" w:sz="8" w:space="0" w:color="000000"/>
              <w:right w:val="nil"/>
            </w:tcBorders>
            <w:shd w:val="clear" w:color="auto" w:fill="auto"/>
            <w:vAlign w:val="center"/>
            <w:hideMark/>
          </w:tcPr>
          <w:p w:rsidR="004D1AFC" w:rsidRPr="004D1AFC" w:rsidRDefault="004D1AFC" w:rsidP="004D1AFC">
            <w:pPr>
              <w:rPr>
                <w:rFonts w:ascii="Calibri" w:hAnsi="Calibri"/>
                <w:color w:val="000000"/>
                <w:sz w:val="16"/>
                <w:szCs w:val="16"/>
              </w:rPr>
            </w:pPr>
            <w:r w:rsidRPr="004D1AFC">
              <w:rPr>
                <w:rFonts w:ascii="Calibri" w:hAnsi="Calibri"/>
                <w:color w:val="000000"/>
                <w:sz w:val="16"/>
                <w:szCs w:val="16"/>
              </w:rPr>
              <w:t>Magna 2008 Annual Report; Value Line</w:t>
            </w:r>
          </w:p>
        </w:tc>
      </w:tr>
      <w:tr w:rsidR="004D1AFC" w:rsidRPr="004D1AFC" w:rsidTr="004D1AFC">
        <w:trPr>
          <w:trHeight w:val="315"/>
        </w:trPr>
        <w:tc>
          <w:tcPr>
            <w:tcW w:w="900" w:type="dxa"/>
            <w:tcBorders>
              <w:top w:val="nil"/>
              <w:left w:val="nil"/>
              <w:bottom w:val="single" w:sz="8" w:space="0" w:color="000000"/>
              <w:right w:val="single" w:sz="8" w:space="0" w:color="000000"/>
            </w:tcBorders>
            <w:shd w:val="clear" w:color="auto" w:fill="auto"/>
            <w:noWrap/>
            <w:vAlign w:val="center"/>
            <w:hideMark/>
          </w:tcPr>
          <w:p w:rsidR="004D1AFC" w:rsidRPr="004D1AFC" w:rsidRDefault="004D1C9A" w:rsidP="004D1AFC">
            <w:pPr>
              <w:rPr>
                <w:rFonts w:ascii="Calibri" w:hAnsi="Calibri"/>
                <w:color w:val="000000"/>
                <w:sz w:val="16"/>
                <w:szCs w:val="16"/>
              </w:rPr>
            </w:pPr>
            <w:r>
              <w:rPr>
                <w:rFonts w:ascii="Calibri" w:hAnsi="Calibri"/>
                <w:color w:val="000000"/>
                <w:sz w:val="16"/>
                <w:szCs w:val="16"/>
              </w:rPr>
              <w:t>Th., Feb. 12</w:t>
            </w:r>
          </w:p>
        </w:tc>
        <w:tc>
          <w:tcPr>
            <w:tcW w:w="3280" w:type="dxa"/>
            <w:tcBorders>
              <w:top w:val="nil"/>
              <w:left w:val="nil"/>
              <w:bottom w:val="single" w:sz="8" w:space="0" w:color="000000"/>
              <w:right w:val="single" w:sz="8" w:space="0" w:color="000000"/>
            </w:tcBorders>
            <w:shd w:val="clear" w:color="auto" w:fill="auto"/>
            <w:noWrap/>
            <w:vAlign w:val="center"/>
            <w:hideMark/>
          </w:tcPr>
          <w:p w:rsidR="004D1AFC" w:rsidRPr="004D1AFC" w:rsidRDefault="004D1AFC" w:rsidP="004D1AFC">
            <w:pPr>
              <w:rPr>
                <w:rFonts w:ascii="Calibri" w:hAnsi="Calibri"/>
                <w:color w:val="000000"/>
                <w:sz w:val="16"/>
                <w:szCs w:val="16"/>
              </w:rPr>
            </w:pPr>
            <w:r w:rsidRPr="004D1AFC">
              <w:rPr>
                <w:rFonts w:ascii="Calibri" w:hAnsi="Calibri"/>
                <w:color w:val="000000"/>
                <w:sz w:val="16"/>
                <w:szCs w:val="16"/>
              </w:rPr>
              <w:t xml:space="preserve"> Franchises</w:t>
            </w:r>
          </w:p>
        </w:tc>
        <w:tc>
          <w:tcPr>
            <w:tcW w:w="6160" w:type="dxa"/>
            <w:tcBorders>
              <w:top w:val="nil"/>
              <w:left w:val="nil"/>
              <w:bottom w:val="single" w:sz="8" w:space="0" w:color="000000"/>
              <w:right w:val="nil"/>
            </w:tcBorders>
            <w:shd w:val="clear" w:color="auto" w:fill="auto"/>
            <w:vAlign w:val="center"/>
            <w:hideMark/>
          </w:tcPr>
          <w:p w:rsidR="004D1AFC" w:rsidRPr="004D1AFC" w:rsidRDefault="004D1AFC" w:rsidP="004D1AFC">
            <w:pPr>
              <w:rPr>
                <w:rFonts w:ascii="Calibri" w:hAnsi="Calibri"/>
                <w:color w:val="000000"/>
                <w:sz w:val="16"/>
                <w:szCs w:val="16"/>
              </w:rPr>
            </w:pPr>
            <w:r w:rsidRPr="004D1AFC">
              <w:rPr>
                <w:rFonts w:ascii="Calibri" w:hAnsi="Calibri"/>
                <w:color w:val="000000"/>
                <w:sz w:val="16"/>
                <w:szCs w:val="16"/>
              </w:rPr>
              <w:t> </w:t>
            </w:r>
          </w:p>
        </w:tc>
      </w:tr>
      <w:tr w:rsidR="004D1AFC" w:rsidRPr="004D1AFC" w:rsidTr="004D1AFC">
        <w:trPr>
          <w:trHeight w:val="315"/>
        </w:trPr>
        <w:tc>
          <w:tcPr>
            <w:tcW w:w="900" w:type="dxa"/>
            <w:tcBorders>
              <w:top w:val="nil"/>
              <w:left w:val="nil"/>
              <w:bottom w:val="single" w:sz="8" w:space="0" w:color="000000"/>
              <w:right w:val="single" w:sz="8" w:space="0" w:color="000000"/>
            </w:tcBorders>
            <w:shd w:val="clear" w:color="auto" w:fill="auto"/>
            <w:noWrap/>
            <w:vAlign w:val="center"/>
          </w:tcPr>
          <w:p w:rsidR="004D1AFC" w:rsidRPr="004D1AFC" w:rsidRDefault="004D1AFC" w:rsidP="004D1AFC">
            <w:pPr>
              <w:rPr>
                <w:rFonts w:ascii="Calibri" w:hAnsi="Calibri"/>
                <w:b/>
                <w:color w:val="000000"/>
                <w:sz w:val="16"/>
                <w:szCs w:val="16"/>
              </w:rPr>
            </w:pPr>
            <w:r w:rsidRPr="004D1AFC">
              <w:rPr>
                <w:rFonts w:ascii="Calibri" w:hAnsi="Calibri"/>
                <w:b/>
                <w:color w:val="000000"/>
                <w:sz w:val="16"/>
                <w:szCs w:val="16"/>
              </w:rPr>
              <w:t>Date</w:t>
            </w:r>
          </w:p>
        </w:tc>
        <w:tc>
          <w:tcPr>
            <w:tcW w:w="3280" w:type="dxa"/>
            <w:tcBorders>
              <w:top w:val="nil"/>
              <w:left w:val="nil"/>
              <w:bottom w:val="single" w:sz="8" w:space="0" w:color="000000"/>
              <w:right w:val="single" w:sz="8" w:space="0" w:color="000000"/>
            </w:tcBorders>
            <w:shd w:val="clear" w:color="auto" w:fill="auto"/>
            <w:noWrap/>
            <w:vAlign w:val="center"/>
          </w:tcPr>
          <w:p w:rsidR="004D1AFC" w:rsidRPr="004D1AFC" w:rsidRDefault="004D1AFC" w:rsidP="004D1AFC">
            <w:pPr>
              <w:rPr>
                <w:rFonts w:ascii="Calibri" w:hAnsi="Calibri"/>
                <w:b/>
                <w:color w:val="000000"/>
                <w:sz w:val="16"/>
                <w:szCs w:val="16"/>
              </w:rPr>
            </w:pPr>
            <w:r w:rsidRPr="004D1AFC">
              <w:rPr>
                <w:rFonts w:ascii="Calibri" w:hAnsi="Calibri"/>
                <w:b/>
                <w:color w:val="000000"/>
                <w:sz w:val="16"/>
                <w:szCs w:val="16"/>
              </w:rPr>
              <w:t>Topics</w:t>
            </w:r>
          </w:p>
        </w:tc>
        <w:tc>
          <w:tcPr>
            <w:tcW w:w="6160" w:type="dxa"/>
            <w:tcBorders>
              <w:top w:val="nil"/>
              <w:left w:val="nil"/>
              <w:bottom w:val="single" w:sz="8" w:space="0" w:color="000000"/>
              <w:right w:val="nil"/>
            </w:tcBorders>
            <w:shd w:val="clear" w:color="auto" w:fill="auto"/>
            <w:vAlign w:val="center"/>
          </w:tcPr>
          <w:p w:rsidR="004D1AFC" w:rsidRPr="004D1AFC" w:rsidRDefault="004D1AFC" w:rsidP="004D1AFC">
            <w:pPr>
              <w:rPr>
                <w:rFonts w:ascii="Calibri" w:hAnsi="Calibri"/>
                <w:b/>
                <w:color w:val="000000"/>
                <w:sz w:val="16"/>
                <w:szCs w:val="16"/>
              </w:rPr>
            </w:pPr>
            <w:r w:rsidRPr="004D1AFC">
              <w:rPr>
                <w:rFonts w:ascii="Calibri" w:hAnsi="Calibri"/>
                <w:b/>
                <w:color w:val="000000"/>
                <w:sz w:val="16"/>
                <w:szCs w:val="16"/>
              </w:rPr>
              <w:t>Readings and assignments</w:t>
            </w:r>
          </w:p>
        </w:tc>
      </w:tr>
      <w:tr w:rsidR="004D1AFC" w:rsidRPr="004D1AFC" w:rsidTr="004D1AFC">
        <w:trPr>
          <w:trHeight w:val="315"/>
        </w:trPr>
        <w:tc>
          <w:tcPr>
            <w:tcW w:w="900" w:type="dxa"/>
            <w:tcBorders>
              <w:top w:val="nil"/>
              <w:left w:val="nil"/>
              <w:bottom w:val="single" w:sz="8" w:space="0" w:color="000000"/>
              <w:right w:val="single" w:sz="8" w:space="0" w:color="000000"/>
            </w:tcBorders>
            <w:shd w:val="clear" w:color="auto" w:fill="auto"/>
            <w:noWrap/>
            <w:vAlign w:val="center"/>
            <w:hideMark/>
          </w:tcPr>
          <w:p w:rsidR="004D1AFC" w:rsidRPr="004D1AFC" w:rsidRDefault="004D1C9A" w:rsidP="004D1AFC">
            <w:pPr>
              <w:rPr>
                <w:rFonts w:ascii="Calibri" w:hAnsi="Calibri"/>
                <w:color w:val="000000"/>
                <w:sz w:val="16"/>
                <w:szCs w:val="16"/>
              </w:rPr>
            </w:pPr>
            <w:r>
              <w:rPr>
                <w:rFonts w:ascii="Calibri" w:hAnsi="Calibri"/>
                <w:color w:val="000000"/>
                <w:sz w:val="16"/>
                <w:szCs w:val="16"/>
              </w:rPr>
              <w:t>Tu., Feb. 17</w:t>
            </w:r>
          </w:p>
        </w:tc>
        <w:tc>
          <w:tcPr>
            <w:tcW w:w="3280" w:type="dxa"/>
            <w:tcBorders>
              <w:top w:val="nil"/>
              <w:left w:val="nil"/>
              <w:bottom w:val="single" w:sz="8" w:space="0" w:color="000000"/>
              <w:right w:val="single" w:sz="8" w:space="0" w:color="000000"/>
            </w:tcBorders>
            <w:shd w:val="clear" w:color="auto" w:fill="auto"/>
            <w:noWrap/>
            <w:vAlign w:val="center"/>
            <w:hideMark/>
          </w:tcPr>
          <w:p w:rsidR="004D1AFC" w:rsidRPr="004D1AFC" w:rsidRDefault="004D1AFC" w:rsidP="004D1AFC">
            <w:pPr>
              <w:rPr>
                <w:rFonts w:ascii="Calibri" w:hAnsi="Calibri"/>
                <w:color w:val="000000"/>
                <w:sz w:val="16"/>
                <w:szCs w:val="16"/>
              </w:rPr>
            </w:pPr>
            <w:r w:rsidRPr="004D1AFC">
              <w:rPr>
                <w:rFonts w:ascii="Calibri" w:hAnsi="Calibri"/>
                <w:color w:val="000000"/>
                <w:sz w:val="16"/>
                <w:szCs w:val="16"/>
              </w:rPr>
              <w:t>Amazon</w:t>
            </w:r>
          </w:p>
        </w:tc>
        <w:tc>
          <w:tcPr>
            <w:tcW w:w="6160" w:type="dxa"/>
            <w:tcBorders>
              <w:top w:val="nil"/>
              <w:left w:val="nil"/>
              <w:bottom w:val="single" w:sz="8" w:space="0" w:color="000000"/>
              <w:right w:val="nil"/>
            </w:tcBorders>
            <w:shd w:val="clear" w:color="auto" w:fill="auto"/>
            <w:vAlign w:val="center"/>
            <w:hideMark/>
          </w:tcPr>
          <w:p w:rsidR="004D1AFC" w:rsidRPr="004D1AFC" w:rsidRDefault="004D1AFC" w:rsidP="004D1AFC">
            <w:pPr>
              <w:rPr>
                <w:rFonts w:ascii="Calibri" w:hAnsi="Calibri"/>
                <w:color w:val="000000"/>
                <w:sz w:val="16"/>
                <w:szCs w:val="16"/>
              </w:rPr>
            </w:pPr>
            <w:r w:rsidRPr="004D1AFC">
              <w:rPr>
                <w:rFonts w:ascii="Calibri" w:hAnsi="Calibri"/>
                <w:color w:val="000000"/>
                <w:sz w:val="16"/>
                <w:szCs w:val="16"/>
              </w:rPr>
              <w:t>Annual Report, Value Line</w:t>
            </w:r>
          </w:p>
        </w:tc>
      </w:tr>
      <w:tr w:rsidR="004D1AFC" w:rsidRPr="004D1AFC" w:rsidTr="004D1AFC">
        <w:trPr>
          <w:trHeight w:val="315"/>
        </w:trPr>
        <w:tc>
          <w:tcPr>
            <w:tcW w:w="900" w:type="dxa"/>
            <w:tcBorders>
              <w:top w:val="nil"/>
              <w:left w:val="nil"/>
              <w:bottom w:val="single" w:sz="8" w:space="0" w:color="000000"/>
              <w:right w:val="single" w:sz="8" w:space="0" w:color="000000"/>
            </w:tcBorders>
            <w:shd w:val="clear" w:color="auto" w:fill="auto"/>
            <w:noWrap/>
            <w:vAlign w:val="center"/>
            <w:hideMark/>
          </w:tcPr>
          <w:p w:rsidR="004D1AFC" w:rsidRPr="004D1AFC" w:rsidRDefault="004D1C9A" w:rsidP="004D1AFC">
            <w:pPr>
              <w:rPr>
                <w:rFonts w:ascii="Calibri" w:hAnsi="Calibri"/>
                <w:color w:val="000000"/>
                <w:sz w:val="16"/>
                <w:szCs w:val="16"/>
              </w:rPr>
            </w:pPr>
            <w:r>
              <w:rPr>
                <w:rFonts w:ascii="Calibri" w:hAnsi="Calibri"/>
                <w:color w:val="000000"/>
                <w:sz w:val="16"/>
                <w:szCs w:val="16"/>
              </w:rPr>
              <w:t>Th., Feb. 19</w:t>
            </w:r>
          </w:p>
        </w:tc>
        <w:tc>
          <w:tcPr>
            <w:tcW w:w="3280" w:type="dxa"/>
            <w:tcBorders>
              <w:top w:val="nil"/>
              <w:left w:val="nil"/>
              <w:bottom w:val="single" w:sz="8" w:space="0" w:color="000000"/>
              <w:right w:val="single" w:sz="8" w:space="0" w:color="000000"/>
            </w:tcBorders>
            <w:shd w:val="clear" w:color="auto" w:fill="auto"/>
            <w:noWrap/>
            <w:vAlign w:val="center"/>
            <w:hideMark/>
          </w:tcPr>
          <w:p w:rsidR="004D1AFC" w:rsidRPr="004D1AFC" w:rsidRDefault="004D1AFC" w:rsidP="004D1AFC">
            <w:pPr>
              <w:rPr>
                <w:rFonts w:ascii="Calibri" w:hAnsi="Calibri"/>
                <w:color w:val="000000"/>
                <w:sz w:val="16"/>
                <w:szCs w:val="16"/>
              </w:rPr>
            </w:pPr>
            <w:r w:rsidRPr="004D1AFC">
              <w:rPr>
                <w:rFonts w:ascii="Calibri" w:hAnsi="Calibri"/>
                <w:color w:val="000000"/>
                <w:sz w:val="16"/>
                <w:szCs w:val="16"/>
              </w:rPr>
              <w:t xml:space="preserve">Valuing Growth </w:t>
            </w:r>
          </w:p>
        </w:tc>
        <w:tc>
          <w:tcPr>
            <w:tcW w:w="6160" w:type="dxa"/>
            <w:tcBorders>
              <w:top w:val="nil"/>
              <w:left w:val="nil"/>
              <w:bottom w:val="single" w:sz="8" w:space="0" w:color="000000"/>
              <w:right w:val="nil"/>
            </w:tcBorders>
            <w:shd w:val="clear" w:color="auto" w:fill="auto"/>
            <w:vAlign w:val="center"/>
            <w:hideMark/>
          </w:tcPr>
          <w:p w:rsidR="004D1AFC" w:rsidRPr="004D1AFC" w:rsidRDefault="004D1AFC" w:rsidP="004D1AFC">
            <w:pPr>
              <w:rPr>
                <w:rFonts w:ascii="Calibri" w:hAnsi="Calibri"/>
                <w:b/>
                <w:bCs/>
                <w:color w:val="000000"/>
                <w:sz w:val="16"/>
                <w:szCs w:val="16"/>
              </w:rPr>
            </w:pPr>
            <w:r w:rsidRPr="004D1AFC">
              <w:rPr>
                <w:rFonts w:ascii="Calibri" w:hAnsi="Calibri"/>
                <w:b/>
                <w:bCs/>
                <w:color w:val="000000"/>
                <w:sz w:val="16"/>
                <w:szCs w:val="16"/>
              </w:rPr>
              <w:t>II</w:t>
            </w:r>
            <w:r w:rsidRPr="004D1AFC">
              <w:rPr>
                <w:rFonts w:ascii="Calibri" w:hAnsi="Calibri"/>
                <w:color w:val="000000"/>
                <w:sz w:val="16"/>
                <w:szCs w:val="16"/>
              </w:rPr>
              <w:t xml:space="preserve">, </w:t>
            </w:r>
            <w:proofErr w:type="spellStart"/>
            <w:r w:rsidRPr="004D1AFC">
              <w:rPr>
                <w:rFonts w:ascii="Calibri" w:hAnsi="Calibri"/>
                <w:color w:val="000000"/>
                <w:sz w:val="16"/>
                <w:szCs w:val="16"/>
              </w:rPr>
              <w:t>Chpts</w:t>
            </w:r>
            <w:proofErr w:type="spellEnd"/>
            <w:r w:rsidRPr="004D1AFC">
              <w:rPr>
                <w:rFonts w:ascii="Calibri" w:hAnsi="Calibri"/>
                <w:color w:val="000000"/>
                <w:sz w:val="16"/>
                <w:szCs w:val="16"/>
              </w:rPr>
              <w:t xml:space="preserve">. 12,20; </w:t>
            </w:r>
            <w:r w:rsidRPr="004D1AFC">
              <w:rPr>
                <w:rFonts w:ascii="Calibri" w:hAnsi="Calibri"/>
                <w:b/>
                <w:bCs/>
                <w:color w:val="000000"/>
                <w:sz w:val="16"/>
                <w:szCs w:val="16"/>
              </w:rPr>
              <w:t>VI</w:t>
            </w:r>
            <w:r w:rsidRPr="004D1AFC">
              <w:rPr>
                <w:rFonts w:ascii="Calibri" w:hAnsi="Calibri"/>
                <w:color w:val="000000"/>
                <w:sz w:val="16"/>
                <w:szCs w:val="16"/>
              </w:rPr>
              <w:t xml:space="preserve"> </w:t>
            </w:r>
            <w:proofErr w:type="spellStart"/>
            <w:r w:rsidRPr="004D1AFC">
              <w:rPr>
                <w:rFonts w:ascii="Calibri" w:hAnsi="Calibri"/>
                <w:color w:val="000000"/>
                <w:sz w:val="16"/>
                <w:szCs w:val="16"/>
              </w:rPr>
              <w:t>Chpts</w:t>
            </w:r>
            <w:proofErr w:type="spellEnd"/>
            <w:r w:rsidRPr="004D1AFC">
              <w:rPr>
                <w:rFonts w:ascii="Calibri" w:hAnsi="Calibri"/>
                <w:color w:val="000000"/>
                <w:sz w:val="16"/>
                <w:szCs w:val="16"/>
              </w:rPr>
              <w:t xml:space="preserve"> 6-8; </w:t>
            </w:r>
          </w:p>
        </w:tc>
      </w:tr>
      <w:tr w:rsidR="004D1AFC" w:rsidRPr="004D1AFC" w:rsidTr="004D1AFC">
        <w:trPr>
          <w:trHeight w:val="315"/>
        </w:trPr>
        <w:tc>
          <w:tcPr>
            <w:tcW w:w="900" w:type="dxa"/>
            <w:tcBorders>
              <w:top w:val="nil"/>
              <w:left w:val="nil"/>
              <w:bottom w:val="single" w:sz="8" w:space="0" w:color="000000"/>
              <w:right w:val="single" w:sz="8" w:space="0" w:color="000000"/>
            </w:tcBorders>
            <w:shd w:val="clear" w:color="auto" w:fill="auto"/>
            <w:noWrap/>
            <w:vAlign w:val="center"/>
            <w:hideMark/>
          </w:tcPr>
          <w:p w:rsidR="004D1AFC" w:rsidRPr="004D1AFC" w:rsidRDefault="004D1C9A" w:rsidP="004D1AFC">
            <w:pPr>
              <w:rPr>
                <w:rFonts w:ascii="Calibri" w:hAnsi="Calibri"/>
                <w:color w:val="000000"/>
                <w:sz w:val="16"/>
                <w:szCs w:val="16"/>
              </w:rPr>
            </w:pPr>
            <w:r>
              <w:rPr>
                <w:rFonts w:ascii="Calibri" w:hAnsi="Calibri"/>
                <w:color w:val="000000"/>
                <w:sz w:val="16"/>
                <w:szCs w:val="16"/>
              </w:rPr>
              <w:t>Tu., Feb. 24</w:t>
            </w:r>
          </w:p>
        </w:tc>
        <w:tc>
          <w:tcPr>
            <w:tcW w:w="3280" w:type="dxa"/>
            <w:tcBorders>
              <w:top w:val="nil"/>
              <w:left w:val="nil"/>
              <w:bottom w:val="single" w:sz="8" w:space="0" w:color="000000"/>
              <w:right w:val="single" w:sz="8" w:space="0" w:color="000000"/>
            </w:tcBorders>
            <w:shd w:val="clear" w:color="auto" w:fill="auto"/>
            <w:noWrap/>
            <w:vAlign w:val="center"/>
            <w:hideMark/>
          </w:tcPr>
          <w:p w:rsidR="004D1AFC" w:rsidRPr="004D1AFC" w:rsidRDefault="004D1AFC" w:rsidP="004D1AFC">
            <w:pPr>
              <w:rPr>
                <w:rFonts w:ascii="Calibri" w:hAnsi="Calibri"/>
                <w:color w:val="000000"/>
                <w:sz w:val="16"/>
                <w:szCs w:val="16"/>
              </w:rPr>
            </w:pPr>
            <w:r w:rsidRPr="004D1AFC">
              <w:rPr>
                <w:rFonts w:ascii="Calibri" w:hAnsi="Calibri"/>
                <w:color w:val="000000"/>
                <w:sz w:val="16"/>
                <w:szCs w:val="16"/>
              </w:rPr>
              <w:t>Walmart</w:t>
            </w:r>
          </w:p>
        </w:tc>
        <w:tc>
          <w:tcPr>
            <w:tcW w:w="6160" w:type="dxa"/>
            <w:tcBorders>
              <w:top w:val="nil"/>
              <w:left w:val="nil"/>
              <w:bottom w:val="single" w:sz="8" w:space="0" w:color="000000"/>
              <w:right w:val="nil"/>
            </w:tcBorders>
            <w:shd w:val="clear" w:color="auto" w:fill="auto"/>
            <w:vAlign w:val="center"/>
            <w:hideMark/>
          </w:tcPr>
          <w:p w:rsidR="004D1AFC" w:rsidRPr="004D1AFC" w:rsidRDefault="004D1AFC" w:rsidP="004D1AFC">
            <w:pPr>
              <w:rPr>
                <w:rFonts w:ascii="Calibri" w:hAnsi="Calibri"/>
                <w:color w:val="000000"/>
                <w:sz w:val="16"/>
                <w:szCs w:val="16"/>
              </w:rPr>
            </w:pPr>
            <w:r w:rsidRPr="004D1AFC">
              <w:rPr>
                <w:rFonts w:ascii="Calibri" w:hAnsi="Calibri"/>
                <w:color w:val="000000"/>
                <w:sz w:val="16"/>
                <w:szCs w:val="16"/>
              </w:rPr>
              <w:t>Annual Report;  Value Line</w:t>
            </w:r>
          </w:p>
        </w:tc>
      </w:tr>
      <w:tr w:rsidR="004D1AFC" w:rsidRPr="004D1AFC" w:rsidTr="004D1AFC">
        <w:trPr>
          <w:trHeight w:val="315"/>
        </w:trPr>
        <w:tc>
          <w:tcPr>
            <w:tcW w:w="900" w:type="dxa"/>
            <w:tcBorders>
              <w:top w:val="nil"/>
              <w:left w:val="nil"/>
              <w:bottom w:val="single" w:sz="8" w:space="0" w:color="auto"/>
              <w:right w:val="single" w:sz="8" w:space="0" w:color="000000"/>
            </w:tcBorders>
            <w:shd w:val="clear" w:color="auto" w:fill="auto"/>
            <w:noWrap/>
            <w:vAlign w:val="center"/>
            <w:hideMark/>
          </w:tcPr>
          <w:p w:rsidR="004D1AFC" w:rsidRPr="004D1AFC" w:rsidRDefault="004D1C9A" w:rsidP="004D1AFC">
            <w:pPr>
              <w:rPr>
                <w:rFonts w:ascii="Calibri" w:hAnsi="Calibri"/>
                <w:color w:val="000000"/>
                <w:sz w:val="16"/>
                <w:szCs w:val="16"/>
              </w:rPr>
            </w:pPr>
            <w:r>
              <w:rPr>
                <w:rFonts w:ascii="Calibri" w:hAnsi="Calibri"/>
                <w:color w:val="000000"/>
                <w:sz w:val="16"/>
                <w:szCs w:val="16"/>
              </w:rPr>
              <w:t>Th., Feb. 26</w:t>
            </w:r>
          </w:p>
        </w:tc>
        <w:tc>
          <w:tcPr>
            <w:tcW w:w="3280" w:type="dxa"/>
            <w:tcBorders>
              <w:top w:val="nil"/>
              <w:left w:val="nil"/>
              <w:bottom w:val="single" w:sz="8" w:space="0" w:color="auto"/>
              <w:right w:val="single" w:sz="8" w:space="0" w:color="000000"/>
            </w:tcBorders>
            <w:shd w:val="clear" w:color="auto" w:fill="auto"/>
            <w:noWrap/>
            <w:vAlign w:val="center"/>
            <w:hideMark/>
          </w:tcPr>
          <w:p w:rsidR="004D1AFC" w:rsidRPr="004D1AFC" w:rsidRDefault="004D1AFC" w:rsidP="004D1AFC">
            <w:pPr>
              <w:rPr>
                <w:rFonts w:ascii="Calibri" w:hAnsi="Calibri"/>
                <w:color w:val="000000"/>
                <w:sz w:val="16"/>
                <w:szCs w:val="16"/>
              </w:rPr>
            </w:pPr>
            <w:r w:rsidRPr="004D1AFC">
              <w:rPr>
                <w:rFonts w:ascii="Calibri" w:hAnsi="Calibri"/>
                <w:color w:val="000000"/>
                <w:sz w:val="16"/>
                <w:szCs w:val="16"/>
              </w:rPr>
              <w:t>Dell , American Express</w:t>
            </w:r>
          </w:p>
        </w:tc>
        <w:tc>
          <w:tcPr>
            <w:tcW w:w="6160" w:type="dxa"/>
            <w:tcBorders>
              <w:top w:val="nil"/>
              <w:left w:val="nil"/>
              <w:bottom w:val="single" w:sz="8" w:space="0" w:color="auto"/>
              <w:right w:val="nil"/>
            </w:tcBorders>
            <w:shd w:val="clear" w:color="auto" w:fill="auto"/>
            <w:vAlign w:val="center"/>
            <w:hideMark/>
          </w:tcPr>
          <w:p w:rsidR="004D1AFC" w:rsidRPr="004D1AFC" w:rsidRDefault="004D1AFC" w:rsidP="004D1AFC">
            <w:pPr>
              <w:rPr>
                <w:rFonts w:ascii="Calibri" w:hAnsi="Calibri"/>
                <w:color w:val="000000"/>
                <w:sz w:val="16"/>
                <w:szCs w:val="16"/>
              </w:rPr>
            </w:pPr>
            <w:r w:rsidRPr="004D1AFC">
              <w:rPr>
                <w:rFonts w:ascii="Calibri" w:hAnsi="Calibri"/>
                <w:color w:val="000000"/>
                <w:sz w:val="16"/>
                <w:szCs w:val="16"/>
              </w:rPr>
              <w:t>Annual Reports; Value Line</w:t>
            </w:r>
          </w:p>
        </w:tc>
      </w:tr>
      <w:tr w:rsidR="004D1AFC" w:rsidRPr="004D1AFC" w:rsidTr="004D1AFC">
        <w:trPr>
          <w:trHeight w:val="315"/>
        </w:trPr>
        <w:tc>
          <w:tcPr>
            <w:tcW w:w="900" w:type="dxa"/>
            <w:tcBorders>
              <w:top w:val="nil"/>
              <w:left w:val="nil"/>
              <w:bottom w:val="single" w:sz="8" w:space="0" w:color="auto"/>
              <w:right w:val="single" w:sz="8" w:space="0" w:color="000000"/>
            </w:tcBorders>
            <w:shd w:val="clear" w:color="auto" w:fill="auto"/>
            <w:noWrap/>
            <w:vAlign w:val="center"/>
            <w:hideMark/>
          </w:tcPr>
          <w:p w:rsidR="004D1AFC" w:rsidRPr="004D1AFC" w:rsidRDefault="004D1C9A" w:rsidP="004D1AFC">
            <w:pPr>
              <w:rPr>
                <w:rFonts w:ascii="Calibri" w:hAnsi="Calibri"/>
                <w:color w:val="000000"/>
                <w:sz w:val="16"/>
                <w:szCs w:val="16"/>
              </w:rPr>
            </w:pPr>
            <w:r>
              <w:rPr>
                <w:rFonts w:ascii="Calibri" w:hAnsi="Calibri"/>
                <w:color w:val="000000"/>
                <w:sz w:val="16"/>
                <w:szCs w:val="16"/>
              </w:rPr>
              <w:t>Tu., Mar. 3</w:t>
            </w:r>
          </w:p>
        </w:tc>
        <w:tc>
          <w:tcPr>
            <w:tcW w:w="3280" w:type="dxa"/>
            <w:tcBorders>
              <w:top w:val="nil"/>
              <w:left w:val="nil"/>
              <w:bottom w:val="single" w:sz="8" w:space="0" w:color="auto"/>
              <w:right w:val="single" w:sz="8" w:space="0" w:color="000000"/>
            </w:tcBorders>
            <w:shd w:val="clear" w:color="auto" w:fill="auto"/>
            <w:noWrap/>
            <w:vAlign w:val="center"/>
            <w:hideMark/>
          </w:tcPr>
          <w:p w:rsidR="004D1AFC" w:rsidRPr="004D1AFC" w:rsidRDefault="004D1AFC" w:rsidP="004D1AFC">
            <w:pPr>
              <w:rPr>
                <w:rFonts w:ascii="Calibri" w:hAnsi="Calibri"/>
                <w:color w:val="000000"/>
                <w:sz w:val="16"/>
                <w:szCs w:val="16"/>
              </w:rPr>
            </w:pPr>
            <w:r w:rsidRPr="004D1AFC">
              <w:rPr>
                <w:rFonts w:ascii="Calibri" w:hAnsi="Calibri"/>
                <w:color w:val="000000"/>
                <w:sz w:val="16"/>
                <w:szCs w:val="16"/>
              </w:rPr>
              <w:t>Risk Management, Macro 1, Nestle</w:t>
            </w:r>
          </w:p>
        </w:tc>
        <w:tc>
          <w:tcPr>
            <w:tcW w:w="6160" w:type="dxa"/>
            <w:tcBorders>
              <w:top w:val="nil"/>
              <w:left w:val="nil"/>
              <w:bottom w:val="single" w:sz="8" w:space="0" w:color="auto"/>
              <w:right w:val="nil"/>
            </w:tcBorders>
            <w:shd w:val="clear" w:color="auto" w:fill="auto"/>
            <w:vAlign w:val="center"/>
            <w:hideMark/>
          </w:tcPr>
          <w:p w:rsidR="004D1AFC" w:rsidRPr="004D1AFC" w:rsidRDefault="004D1AFC" w:rsidP="004D1AFC">
            <w:pPr>
              <w:rPr>
                <w:rFonts w:ascii="Calibri" w:hAnsi="Calibri"/>
                <w:color w:val="000000"/>
                <w:sz w:val="16"/>
                <w:szCs w:val="16"/>
              </w:rPr>
            </w:pPr>
            <w:r w:rsidRPr="004D1AFC">
              <w:rPr>
                <w:rFonts w:ascii="Calibri" w:hAnsi="Calibri"/>
                <w:color w:val="000000"/>
                <w:sz w:val="16"/>
                <w:szCs w:val="16"/>
              </w:rPr>
              <w:t>Annual Report</w:t>
            </w:r>
          </w:p>
        </w:tc>
      </w:tr>
      <w:tr w:rsidR="004D1AFC" w:rsidRPr="004D1AFC" w:rsidTr="004D1AFC">
        <w:trPr>
          <w:trHeight w:val="315"/>
        </w:trPr>
        <w:tc>
          <w:tcPr>
            <w:tcW w:w="900" w:type="dxa"/>
            <w:tcBorders>
              <w:top w:val="nil"/>
              <w:left w:val="nil"/>
              <w:bottom w:val="single" w:sz="8" w:space="0" w:color="auto"/>
              <w:right w:val="single" w:sz="8" w:space="0" w:color="000000"/>
            </w:tcBorders>
            <w:shd w:val="clear" w:color="auto" w:fill="auto"/>
            <w:noWrap/>
            <w:vAlign w:val="center"/>
            <w:hideMark/>
          </w:tcPr>
          <w:p w:rsidR="004D1AFC" w:rsidRPr="004D1AFC" w:rsidRDefault="004D1C9A" w:rsidP="004D1AFC">
            <w:pPr>
              <w:rPr>
                <w:rFonts w:ascii="Calibri" w:hAnsi="Calibri"/>
                <w:color w:val="000000"/>
                <w:sz w:val="16"/>
                <w:szCs w:val="16"/>
              </w:rPr>
            </w:pPr>
            <w:r>
              <w:rPr>
                <w:rFonts w:ascii="Calibri" w:hAnsi="Calibri"/>
                <w:color w:val="000000"/>
                <w:sz w:val="16"/>
                <w:szCs w:val="16"/>
              </w:rPr>
              <w:t>Th., Mar. 5</w:t>
            </w:r>
          </w:p>
        </w:tc>
        <w:tc>
          <w:tcPr>
            <w:tcW w:w="3280" w:type="dxa"/>
            <w:tcBorders>
              <w:top w:val="nil"/>
              <w:left w:val="nil"/>
              <w:bottom w:val="single" w:sz="8" w:space="0" w:color="auto"/>
              <w:right w:val="single" w:sz="8" w:space="0" w:color="000000"/>
            </w:tcBorders>
            <w:shd w:val="clear" w:color="auto" w:fill="auto"/>
            <w:noWrap/>
            <w:vAlign w:val="center"/>
            <w:hideMark/>
          </w:tcPr>
          <w:p w:rsidR="004D1AFC" w:rsidRPr="004D1AFC" w:rsidRDefault="004D1AFC" w:rsidP="004D1AFC">
            <w:pPr>
              <w:rPr>
                <w:rFonts w:ascii="Calibri" w:hAnsi="Calibri"/>
                <w:color w:val="000000"/>
                <w:sz w:val="16"/>
                <w:szCs w:val="16"/>
              </w:rPr>
            </w:pPr>
            <w:r w:rsidRPr="004D1AFC">
              <w:rPr>
                <w:rFonts w:ascii="Calibri" w:hAnsi="Calibri"/>
                <w:color w:val="000000"/>
                <w:sz w:val="16"/>
                <w:szCs w:val="16"/>
              </w:rPr>
              <w:t xml:space="preserve">Macro 2, </w:t>
            </w:r>
            <w:proofErr w:type="spellStart"/>
            <w:r w:rsidRPr="004D1AFC">
              <w:rPr>
                <w:rFonts w:ascii="Calibri" w:hAnsi="Calibri"/>
                <w:color w:val="000000"/>
                <w:sz w:val="16"/>
                <w:szCs w:val="16"/>
              </w:rPr>
              <w:t>Ferrovial</w:t>
            </w:r>
            <w:proofErr w:type="spellEnd"/>
          </w:p>
        </w:tc>
        <w:tc>
          <w:tcPr>
            <w:tcW w:w="6160" w:type="dxa"/>
            <w:tcBorders>
              <w:top w:val="nil"/>
              <w:left w:val="nil"/>
              <w:bottom w:val="single" w:sz="8" w:space="0" w:color="auto"/>
              <w:right w:val="nil"/>
            </w:tcBorders>
            <w:shd w:val="clear" w:color="auto" w:fill="auto"/>
            <w:vAlign w:val="center"/>
            <w:hideMark/>
          </w:tcPr>
          <w:p w:rsidR="004D1AFC" w:rsidRPr="004D1AFC" w:rsidRDefault="004D1AFC" w:rsidP="004D1AFC">
            <w:pPr>
              <w:rPr>
                <w:rFonts w:ascii="Calibri" w:hAnsi="Calibri"/>
                <w:color w:val="000000"/>
                <w:sz w:val="16"/>
                <w:szCs w:val="16"/>
              </w:rPr>
            </w:pPr>
            <w:r w:rsidRPr="004D1AFC">
              <w:rPr>
                <w:rFonts w:ascii="Calibri" w:hAnsi="Calibri"/>
                <w:color w:val="000000"/>
                <w:sz w:val="16"/>
                <w:szCs w:val="16"/>
              </w:rPr>
              <w:t>Annual Report</w:t>
            </w:r>
          </w:p>
        </w:tc>
      </w:tr>
    </w:tbl>
    <w:p w:rsidR="00470F9D" w:rsidRDefault="00470F9D" w:rsidP="00470F9D">
      <w:pPr>
        <w:pStyle w:val="Default"/>
        <w:spacing w:before="100" w:after="100"/>
        <w:rPr>
          <w:rFonts w:asciiTheme="minorHAnsi" w:eastAsia="Arial Unicode MS" w:hAnsiTheme="minorHAnsi"/>
          <w:b/>
          <w:color w:val="auto"/>
          <w:sz w:val="22"/>
          <w:szCs w:val="22"/>
        </w:rPr>
      </w:pPr>
    </w:p>
    <w:p w:rsidR="00470F9D" w:rsidRDefault="00470F9D" w:rsidP="00470F9D">
      <w:pPr>
        <w:pStyle w:val="Default"/>
        <w:spacing w:before="100" w:after="100"/>
        <w:rPr>
          <w:rFonts w:asciiTheme="minorHAnsi" w:eastAsia="Arial Unicode MS" w:hAnsiTheme="minorHAnsi"/>
          <w:b/>
          <w:color w:val="auto"/>
          <w:sz w:val="22"/>
          <w:szCs w:val="22"/>
        </w:rPr>
      </w:pPr>
    </w:p>
    <w:p w:rsidR="00470F9D" w:rsidRPr="003B0650" w:rsidRDefault="00470F9D" w:rsidP="00470F9D">
      <w:pPr>
        <w:pStyle w:val="Default"/>
        <w:jc w:val="center"/>
        <w:rPr>
          <w:rFonts w:asciiTheme="minorHAnsi" w:hAnsiTheme="minorHAnsi"/>
          <w:b/>
          <w:color w:val="auto"/>
          <w:sz w:val="22"/>
          <w:szCs w:val="22"/>
        </w:rPr>
      </w:pPr>
      <w:r w:rsidRPr="003B0650">
        <w:rPr>
          <w:rFonts w:asciiTheme="minorHAnsi" w:hAnsiTheme="minorHAnsi"/>
          <w:b/>
          <w:color w:val="auto"/>
          <w:sz w:val="22"/>
          <w:szCs w:val="22"/>
        </w:rPr>
        <w:t>The value investing process</w:t>
      </w:r>
    </w:p>
    <w:p w:rsidR="00470F9D" w:rsidRPr="003B0650" w:rsidRDefault="004D1C9A" w:rsidP="00470F9D">
      <w:pPr>
        <w:pStyle w:val="Default"/>
        <w:rPr>
          <w:rFonts w:asciiTheme="minorHAnsi" w:hAnsiTheme="minorHAnsi"/>
          <w:color w:val="auto"/>
          <w:sz w:val="22"/>
          <w:szCs w:val="22"/>
        </w:rPr>
      </w:pPr>
      <w:r>
        <w:rPr>
          <w:rFonts w:asciiTheme="minorHAnsi" w:hAnsiTheme="minorHAnsi"/>
          <w:noProof/>
          <w:color w:val="auto"/>
          <w:sz w:val="22"/>
          <w:szCs w:val="22"/>
        </w:rP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-332740</wp:posOffset>
                </wp:positionV>
                <wp:extent cx="6366510" cy="5791835"/>
                <wp:effectExtent l="0" t="0" r="15240" b="184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6510" cy="5791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pt;margin-top:-26.2pt;width:501.3pt;height:45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" filled="f"/>
            </w:pict>
          </mc:Fallback>
        </mc:AlternateContent>
      </w:r>
    </w:p>
    <w:p w:rsidR="00470F9D" w:rsidRPr="003B0650" w:rsidRDefault="00470F9D" w:rsidP="00470F9D">
      <w:pPr>
        <w:pStyle w:val="Default"/>
        <w:rPr>
          <w:rFonts w:asciiTheme="minorHAnsi" w:hAnsiTheme="minorHAnsi"/>
          <w:color w:val="auto"/>
          <w:sz w:val="22"/>
          <w:szCs w:val="22"/>
        </w:rPr>
      </w:pPr>
      <w:r w:rsidRPr="003B0650">
        <w:rPr>
          <w:rFonts w:asciiTheme="minorHAnsi" w:hAnsiTheme="minorHAnsi"/>
          <w:color w:val="auto"/>
          <w:sz w:val="22"/>
          <w:szCs w:val="22"/>
        </w:rPr>
        <w:t>Whenever you are analyzing the different cases ask yourself the following questions:</w:t>
      </w:r>
    </w:p>
    <w:p w:rsidR="00470F9D" w:rsidRPr="003B0650" w:rsidRDefault="00470F9D" w:rsidP="00470F9D">
      <w:pPr>
        <w:pStyle w:val="Default"/>
        <w:rPr>
          <w:rFonts w:asciiTheme="minorHAnsi" w:hAnsiTheme="minorHAnsi"/>
          <w:color w:val="auto"/>
          <w:sz w:val="22"/>
          <w:szCs w:val="22"/>
        </w:rPr>
      </w:pPr>
    </w:p>
    <w:p w:rsidR="00470F9D" w:rsidRPr="003B0650" w:rsidRDefault="00470F9D" w:rsidP="00470F9D">
      <w:pPr>
        <w:pStyle w:val="Default"/>
        <w:numPr>
          <w:ilvl w:val="0"/>
          <w:numId w:val="8"/>
        </w:numPr>
        <w:rPr>
          <w:rFonts w:asciiTheme="minorHAnsi" w:hAnsiTheme="minorHAnsi"/>
          <w:color w:val="auto"/>
          <w:sz w:val="22"/>
          <w:szCs w:val="22"/>
        </w:rPr>
      </w:pPr>
      <w:r w:rsidRPr="003B0650">
        <w:rPr>
          <w:rFonts w:asciiTheme="minorHAnsi" w:hAnsiTheme="minorHAnsi"/>
          <w:b/>
          <w:color w:val="auto"/>
          <w:sz w:val="22"/>
          <w:szCs w:val="22"/>
        </w:rPr>
        <w:t>Search</w:t>
      </w:r>
    </w:p>
    <w:p w:rsidR="00470F9D" w:rsidRPr="003B0650" w:rsidRDefault="00470F9D" w:rsidP="00470F9D">
      <w:pPr>
        <w:pStyle w:val="Default"/>
        <w:numPr>
          <w:ilvl w:val="1"/>
          <w:numId w:val="8"/>
        </w:numPr>
        <w:rPr>
          <w:rFonts w:asciiTheme="minorHAnsi" w:hAnsiTheme="minorHAnsi"/>
          <w:color w:val="auto"/>
          <w:sz w:val="22"/>
          <w:szCs w:val="22"/>
        </w:rPr>
      </w:pPr>
      <w:r w:rsidRPr="003B0650">
        <w:rPr>
          <w:rFonts w:asciiTheme="minorHAnsi" w:hAnsiTheme="minorHAnsi"/>
          <w:color w:val="auto"/>
          <w:sz w:val="22"/>
          <w:szCs w:val="22"/>
        </w:rPr>
        <w:t>Why are we looking at this company? What brought it to my attention?</w:t>
      </w:r>
    </w:p>
    <w:p w:rsidR="00470F9D" w:rsidRPr="003B0650" w:rsidRDefault="00470F9D" w:rsidP="00470F9D">
      <w:pPr>
        <w:pStyle w:val="Default"/>
        <w:numPr>
          <w:ilvl w:val="1"/>
          <w:numId w:val="8"/>
        </w:numPr>
        <w:rPr>
          <w:rFonts w:asciiTheme="minorHAnsi" w:hAnsiTheme="minorHAnsi"/>
          <w:color w:val="auto"/>
          <w:sz w:val="22"/>
          <w:szCs w:val="22"/>
        </w:rPr>
      </w:pPr>
      <w:r w:rsidRPr="003B0650">
        <w:rPr>
          <w:rFonts w:asciiTheme="minorHAnsi" w:hAnsiTheme="minorHAnsi"/>
          <w:color w:val="auto"/>
          <w:sz w:val="22"/>
          <w:szCs w:val="22"/>
        </w:rPr>
        <w:t xml:space="preserve">Is this company in the news? </w:t>
      </w:r>
    </w:p>
    <w:p w:rsidR="00470F9D" w:rsidRPr="003B0650" w:rsidRDefault="00470F9D" w:rsidP="00470F9D">
      <w:pPr>
        <w:pStyle w:val="Default"/>
        <w:numPr>
          <w:ilvl w:val="1"/>
          <w:numId w:val="8"/>
        </w:numPr>
        <w:rPr>
          <w:rFonts w:asciiTheme="minorHAnsi" w:hAnsiTheme="minorHAnsi"/>
          <w:color w:val="auto"/>
          <w:sz w:val="22"/>
          <w:szCs w:val="22"/>
        </w:rPr>
      </w:pPr>
      <w:r w:rsidRPr="003B0650">
        <w:rPr>
          <w:rFonts w:asciiTheme="minorHAnsi" w:hAnsiTheme="minorHAnsi"/>
          <w:color w:val="auto"/>
          <w:sz w:val="22"/>
          <w:szCs w:val="22"/>
        </w:rPr>
        <w:t>Is this company in my circle of competence?</w:t>
      </w:r>
    </w:p>
    <w:p w:rsidR="00470F9D" w:rsidRPr="003B0650" w:rsidRDefault="00470F9D" w:rsidP="00470F9D">
      <w:pPr>
        <w:pStyle w:val="Default"/>
        <w:numPr>
          <w:ilvl w:val="0"/>
          <w:numId w:val="8"/>
        </w:numPr>
        <w:rPr>
          <w:rFonts w:asciiTheme="minorHAnsi" w:hAnsiTheme="minorHAnsi"/>
          <w:b/>
          <w:color w:val="auto"/>
          <w:sz w:val="22"/>
          <w:szCs w:val="22"/>
        </w:rPr>
      </w:pPr>
      <w:r w:rsidRPr="003B0650">
        <w:rPr>
          <w:rFonts w:asciiTheme="minorHAnsi" w:hAnsiTheme="minorHAnsi"/>
          <w:b/>
          <w:color w:val="auto"/>
          <w:sz w:val="22"/>
          <w:szCs w:val="22"/>
        </w:rPr>
        <w:t>Valuation</w:t>
      </w:r>
    </w:p>
    <w:p w:rsidR="00470F9D" w:rsidRPr="003B0650" w:rsidRDefault="00470F9D" w:rsidP="00470F9D">
      <w:pPr>
        <w:pStyle w:val="Default"/>
        <w:numPr>
          <w:ilvl w:val="1"/>
          <w:numId w:val="8"/>
        </w:numPr>
        <w:rPr>
          <w:rFonts w:asciiTheme="minorHAnsi" w:hAnsiTheme="minorHAnsi"/>
          <w:color w:val="auto"/>
          <w:sz w:val="22"/>
          <w:szCs w:val="22"/>
        </w:rPr>
      </w:pPr>
      <w:r w:rsidRPr="003B0650">
        <w:rPr>
          <w:rFonts w:asciiTheme="minorHAnsi" w:hAnsiTheme="minorHAnsi"/>
          <w:color w:val="auto"/>
          <w:sz w:val="22"/>
          <w:szCs w:val="22"/>
        </w:rPr>
        <w:t xml:space="preserve">What does this company do? </w:t>
      </w:r>
    </w:p>
    <w:p w:rsidR="00470F9D" w:rsidRPr="003B0650" w:rsidRDefault="00470F9D" w:rsidP="00470F9D">
      <w:pPr>
        <w:pStyle w:val="Default"/>
        <w:numPr>
          <w:ilvl w:val="1"/>
          <w:numId w:val="8"/>
        </w:numPr>
        <w:rPr>
          <w:rFonts w:asciiTheme="minorHAnsi" w:hAnsiTheme="minorHAnsi"/>
          <w:color w:val="auto"/>
          <w:sz w:val="22"/>
          <w:szCs w:val="22"/>
        </w:rPr>
      </w:pPr>
      <w:r w:rsidRPr="003B0650">
        <w:rPr>
          <w:rFonts w:asciiTheme="minorHAnsi" w:hAnsiTheme="minorHAnsi"/>
          <w:color w:val="auto"/>
          <w:sz w:val="22"/>
          <w:szCs w:val="22"/>
        </w:rPr>
        <w:t>What is the company’s position in its industry relative to competitors, customers and suppliers?</w:t>
      </w:r>
    </w:p>
    <w:p w:rsidR="00470F9D" w:rsidRPr="003B0650" w:rsidRDefault="00470F9D" w:rsidP="00470F9D">
      <w:pPr>
        <w:pStyle w:val="Default"/>
        <w:numPr>
          <w:ilvl w:val="1"/>
          <w:numId w:val="8"/>
        </w:numPr>
        <w:rPr>
          <w:rFonts w:asciiTheme="minorHAnsi" w:hAnsiTheme="minorHAnsi"/>
          <w:color w:val="auto"/>
          <w:sz w:val="22"/>
          <w:szCs w:val="22"/>
        </w:rPr>
      </w:pPr>
      <w:r w:rsidRPr="003B0650">
        <w:rPr>
          <w:rFonts w:asciiTheme="minorHAnsi" w:hAnsiTheme="minorHAnsi"/>
          <w:color w:val="auto"/>
          <w:sz w:val="22"/>
          <w:szCs w:val="22"/>
        </w:rPr>
        <w:t>Can the management team be trusted with my capital?</w:t>
      </w:r>
    </w:p>
    <w:p w:rsidR="00470F9D" w:rsidRPr="003B0650" w:rsidRDefault="00470F9D" w:rsidP="00470F9D">
      <w:pPr>
        <w:pStyle w:val="Default"/>
        <w:numPr>
          <w:ilvl w:val="1"/>
          <w:numId w:val="8"/>
        </w:numPr>
        <w:rPr>
          <w:rFonts w:asciiTheme="minorHAnsi" w:hAnsiTheme="minorHAnsi"/>
          <w:color w:val="auto"/>
          <w:sz w:val="22"/>
          <w:szCs w:val="22"/>
        </w:rPr>
      </w:pPr>
      <w:r w:rsidRPr="003B0650">
        <w:rPr>
          <w:rFonts w:asciiTheme="minorHAnsi" w:hAnsiTheme="minorHAnsi"/>
          <w:color w:val="auto"/>
          <w:sz w:val="22"/>
          <w:szCs w:val="22"/>
        </w:rPr>
        <w:t>What is the asset and earning</w:t>
      </w:r>
      <w:r>
        <w:rPr>
          <w:rFonts w:asciiTheme="minorHAnsi" w:hAnsiTheme="minorHAnsi"/>
          <w:color w:val="auto"/>
          <w:sz w:val="22"/>
          <w:szCs w:val="22"/>
        </w:rPr>
        <w:t>s</w:t>
      </w:r>
      <w:r w:rsidRPr="003B0650">
        <w:rPr>
          <w:rFonts w:asciiTheme="minorHAnsi" w:hAnsiTheme="minorHAnsi"/>
          <w:color w:val="auto"/>
          <w:sz w:val="22"/>
          <w:szCs w:val="22"/>
        </w:rPr>
        <w:t xml:space="preserve"> power value of this company?</w:t>
      </w:r>
    </w:p>
    <w:p w:rsidR="00470F9D" w:rsidRPr="003B0650" w:rsidRDefault="00470F9D" w:rsidP="00470F9D">
      <w:pPr>
        <w:pStyle w:val="Default"/>
        <w:numPr>
          <w:ilvl w:val="1"/>
          <w:numId w:val="8"/>
        </w:numPr>
        <w:rPr>
          <w:rFonts w:asciiTheme="minorHAnsi" w:hAnsiTheme="minorHAnsi"/>
          <w:color w:val="auto"/>
          <w:sz w:val="22"/>
          <w:szCs w:val="22"/>
        </w:rPr>
      </w:pPr>
      <w:r w:rsidRPr="003B0650">
        <w:rPr>
          <w:rFonts w:asciiTheme="minorHAnsi" w:hAnsiTheme="minorHAnsi"/>
          <w:color w:val="auto"/>
          <w:sz w:val="22"/>
          <w:szCs w:val="22"/>
        </w:rPr>
        <w:t>Is there a franchise value to this company?</w:t>
      </w:r>
    </w:p>
    <w:p w:rsidR="00470F9D" w:rsidRPr="003B0650" w:rsidRDefault="00470F9D" w:rsidP="00470F9D">
      <w:pPr>
        <w:pStyle w:val="Default"/>
        <w:numPr>
          <w:ilvl w:val="1"/>
          <w:numId w:val="8"/>
        </w:numPr>
        <w:rPr>
          <w:rFonts w:asciiTheme="minorHAnsi" w:hAnsiTheme="minorHAnsi"/>
          <w:color w:val="auto"/>
          <w:sz w:val="22"/>
          <w:szCs w:val="22"/>
        </w:rPr>
      </w:pPr>
      <w:r w:rsidRPr="003B0650">
        <w:rPr>
          <w:rFonts w:asciiTheme="minorHAnsi" w:hAnsiTheme="minorHAnsi"/>
          <w:color w:val="auto"/>
          <w:sz w:val="22"/>
          <w:szCs w:val="22"/>
        </w:rPr>
        <w:t>How do these values compare to the company’s market value?</w:t>
      </w:r>
      <w:r>
        <w:rPr>
          <w:rFonts w:asciiTheme="minorHAnsi" w:hAnsiTheme="minorHAnsi"/>
          <w:color w:val="auto"/>
          <w:sz w:val="22"/>
          <w:szCs w:val="22"/>
        </w:rPr>
        <w:t xml:space="preserve"> Why are they different?</w:t>
      </w:r>
    </w:p>
    <w:p w:rsidR="00470F9D" w:rsidRPr="003B0650" w:rsidRDefault="00470F9D" w:rsidP="00470F9D">
      <w:pPr>
        <w:pStyle w:val="Default"/>
        <w:numPr>
          <w:ilvl w:val="0"/>
          <w:numId w:val="8"/>
        </w:numPr>
        <w:rPr>
          <w:rFonts w:asciiTheme="minorHAnsi" w:hAnsiTheme="minorHAnsi"/>
          <w:b/>
          <w:color w:val="auto"/>
          <w:sz w:val="22"/>
          <w:szCs w:val="22"/>
        </w:rPr>
      </w:pPr>
      <w:r w:rsidRPr="003B0650">
        <w:rPr>
          <w:rFonts w:asciiTheme="minorHAnsi" w:hAnsiTheme="minorHAnsi"/>
          <w:b/>
          <w:color w:val="auto"/>
          <w:sz w:val="22"/>
          <w:szCs w:val="22"/>
        </w:rPr>
        <w:t xml:space="preserve">Review </w:t>
      </w:r>
    </w:p>
    <w:p w:rsidR="00470F9D" w:rsidRPr="003B0650" w:rsidRDefault="00470F9D" w:rsidP="00470F9D">
      <w:pPr>
        <w:pStyle w:val="Default"/>
        <w:numPr>
          <w:ilvl w:val="1"/>
          <w:numId w:val="8"/>
        </w:numPr>
        <w:rPr>
          <w:rFonts w:asciiTheme="minorHAnsi" w:hAnsiTheme="minorHAnsi"/>
          <w:color w:val="auto"/>
          <w:sz w:val="22"/>
          <w:szCs w:val="22"/>
        </w:rPr>
      </w:pPr>
      <w:r w:rsidRPr="003B0650">
        <w:rPr>
          <w:rFonts w:asciiTheme="minorHAnsi" w:hAnsiTheme="minorHAnsi"/>
          <w:color w:val="auto"/>
          <w:sz w:val="22"/>
          <w:szCs w:val="22"/>
        </w:rPr>
        <w:t xml:space="preserve">What are the key issues regarding this company? </w:t>
      </w:r>
    </w:p>
    <w:p w:rsidR="00470F9D" w:rsidRPr="003B0650" w:rsidRDefault="00470F9D" w:rsidP="00470F9D">
      <w:pPr>
        <w:pStyle w:val="Default"/>
        <w:numPr>
          <w:ilvl w:val="1"/>
          <w:numId w:val="8"/>
        </w:numPr>
        <w:rPr>
          <w:rFonts w:asciiTheme="minorHAnsi" w:hAnsiTheme="minorHAnsi"/>
          <w:color w:val="auto"/>
          <w:sz w:val="22"/>
          <w:szCs w:val="22"/>
        </w:rPr>
      </w:pPr>
      <w:r w:rsidRPr="003B0650">
        <w:rPr>
          <w:rFonts w:asciiTheme="minorHAnsi" w:hAnsiTheme="minorHAnsi"/>
          <w:color w:val="auto"/>
          <w:sz w:val="22"/>
          <w:szCs w:val="22"/>
        </w:rPr>
        <w:t xml:space="preserve">Did I let personal biases affect any of the steps in the analysis? </w:t>
      </w:r>
    </w:p>
    <w:p w:rsidR="00470F9D" w:rsidRPr="003B0650" w:rsidRDefault="00470F9D" w:rsidP="00470F9D">
      <w:pPr>
        <w:pStyle w:val="Default"/>
        <w:numPr>
          <w:ilvl w:val="1"/>
          <w:numId w:val="8"/>
        </w:numPr>
        <w:rPr>
          <w:rFonts w:asciiTheme="minorHAnsi" w:hAnsiTheme="minorHAnsi"/>
          <w:color w:val="auto"/>
          <w:sz w:val="22"/>
          <w:szCs w:val="22"/>
        </w:rPr>
      </w:pPr>
      <w:r w:rsidRPr="003B0650">
        <w:rPr>
          <w:rFonts w:asciiTheme="minorHAnsi" w:hAnsiTheme="minorHAnsi"/>
          <w:color w:val="auto"/>
          <w:sz w:val="22"/>
          <w:szCs w:val="22"/>
        </w:rPr>
        <w:t xml:space="preserve">If this case represents a good investment opportunity, why is this opportunity available to me? Why is someone selling when I am buying?  </w:t>
      </w:r>
    </w:p>
    <w:p w:rsidR="00470F9D" w:rsidRPr="003B0650" w:rsidRDefault="00470F9D" w:rsidP="00470F9D">
      <w:pPr>
        <w:pStyle w:val="Default"/>
        <w:numPr>
          <w:ilvl w:val="0"/>
          <w:numId w:val="8"/>
        </w:numPr>
        <w:rPr>
          <w:rFonts w:asciiTheme="minorHAnsi" w:hAnsiTheme="minorHAnsi"/>
          <w:b/>
          <w:color w:val="auto"/>
          <w:sz w:val="22"/>
          <w:szCs w:val="22"/>
        </w:rPr>
      </w:pPr>
      <w:r w:rsidRPr="003B0650">
        <w:rPr>
          <w:rFonts w:asciiTheme="minorHAnsi" w:hAnsiTheme="minorHAnsi"/>
          <w:b/>
          <w:color w:val="auto"/>
          <w:sz w:val="22"/>
          <w:szCs w:val="22"/>
        </w:rPr>
        <w:t>Risk Management</w:t>
      </w:r>
    </w:p>
    <w:p w:rsidR="00470F9D" w:rsidRPr="003B0650" w:rsidRDefault="00470F9D" w:rsidP="00470F9D">
      <w:pPr>
        <w:pStyle w:val="Default"/>
        <w:numPr>
          <w:ilvl w:val="1"/>
          <w:numId w:val="8"/>
        </w:numPr>
        <w:rPr>
          <w:rFonts w:asciiTheme="minorHAnsi" w:hAnsiTheme="minorHAnsi"/>
          <w:b/>
          <w:color w:val="auto"/>
          <w:sz w:val="22"/>
          <w:szCs w:val="22"/>
        </w:rPr>
      </w:pPr>
      <w:r w:rsidRPr="003B0650">
        <w:rPr>
          <w:rFonts w:asciiTheme="minorHAnsi" w:hAnsiTheme="minorHAnsi"/>
          <w:color w:val="auto"/>
          <w:sz w:val="22"/>
          <w:szCs w:val="22"/>
        </w:rPr>
        <w:t>If the company represents a good investment opportunity, is there enough of a margin of safety?</w:t>
      </w:r>
    </w:p>
    <w:p w:rsidR="00470F9D" w:rsidRPr="003B0650" w:rsidRDefault="00470F9D" w:rsidP="00470F9D">
      <w:pPr>
        <w:pStyle w:val="Default"/>
        <w:numPr>
          <w:ilvl w:val="1"/>
          <w:numId w:val="8"/>
        </w:numPr>
        <w:rPr>
          <w:rFonts w:asciiTheme="minorHAnsi" w:hAnsiTheme="minorHAnsi"/>
          <w:b/>
          <w:color w:val="auto"/>
          <w:sz w:val="22"/>
          <w:szCs w:val="22"/>
        </w:rPr>
      </w:pPr>
      <w:r w:rsidRPr="003B0650">
        <w:rPr>
          <w:rFonts w:asciiTheme="minorHAnsi" w:hAnsiTheme="minorHAnsi"/>
          <w:color w:val="auto"/>
          <w:sz w:val="22"/>
          <w:szCs w:val="22"/>
        </w:rPr>
        <w:t>How does this investment fit with the rest of my portfolio?</w:t>
      </w:r>
    </w:p>
    <w:p w:rsidR="00470F9D" w:rsidRPr="003B0650" w:rsidRDefault="00470F9D" w:rsidP="00470F9D">
      <w:pPr>
        <w:pStyle w:val="Default"/>
        <w:numPr>
          <w:ilvl w:val="1"/>
          <w:numId w:val="8"/>
        </w:numPr>
        <w:rPr>
          <w:rFonts w:asciiTheme="minorHAnsi" w:hAnsiTheme="minorHAnsi"/>
          <w:b/>
          <w:color w:val="auto"/>
          <w:sz w:val="22"/>
          <w:szCs w:val="22"/>
        </w:rPr>
      </w:pPr>
      <w:r w:rsidRPr="003B0650">
        <w:rPr>
          <w:rFonts w:asciiTheme="minorHAnsi" w:hAnsiTheme="minorHAnsi"/>
          <w:color w:val="auto"/>
          <w:sz w:val="22"/>
          <w:szCs w:val="22"/>
        </w:rPr>
        <w:t xml:space="preserve">What kind of risks, other than the ones inherent to the business, </w:t>
      </w:r>
      <w:proofErr w:type="gramStart"/>
      <w:r w:rsidRPr="003B0650">
        <w:rPr>
          <w:rFonts w:asciiTheme="minorHAnsi" w:hAnsiTheme="minorHAnsi"/>
          <w:color w:val="auto"/>
          <w:sz w:val="22"/>
          <w:szCs w:val="22"/>
        </w:rPr>
        <w:t>am</w:t>
      </w:r>
      <w:proofErr w:type="gramEnd"/>
      <w:r w:rsidRPr="003B0650">
        <w:rPr>
          <w:rFonts w:asciiTheme="minorHAnsi" w:hAnsiTheme="minorHAnsi"/>
          <w:color w:val="auto"/>
          <w:sz w:val="22"/>
          <w:szCs w:val="22"/>
        </w:rPr>
        <w:t xml:space="preserve"> I exposed to when I </w:t>
      </w:r>
      <w:r w:rsidRPr="003B0650">
        <w:rPr>
          <w:rFonts w:asciiTheme="minorHAnsi" w:hAnsiTheme="minorHAnsi"/>
          <w:color w:val="auto"/>
          <w:sz w:val="22"/>
          <w:szCs w:val="22"/>
        </w:rPr>
        <w:lastRenderedPageBreak/>
        <w:t xml:space="preserve">invest in this company? Can I, and should I, hedge these risks? </w:t>
      </w:r>
    </w:p>
    <w:p w:rsidR="00470F9D" w:rsidRPr="003B0650" w:rsidRDefault="00470F9D" w:rsidP="00470F9D">
      <w:pPr>
        <w:pStyle w:val="Default"/>
        <w:numPr>
          <w:ilvl w:val="1"/>
          <w:numId w:val="8"/>
        </w:numPr>
        <w:rPr>
          <w:rFonts w:asciiTheme="minorHAnsi" w:hAnsiTheme="minorHAnsi"/>
          <w:b/>
          <w:color w:val="auto"/>
          <w:sz w:val="22"/>
          <w:szCs w:val="22"/>
        </w:rPr>
      </w:pPr>
      <w:r w:rsidRPr="003B0650">
        <w:rPr>
          <w:rFonts w:asciiTheme="minorHAnsi" w:hAnsiTheme="minorHAnsi"/>
          <w:color w:val="auto"/>
          <w:sz w:val="22"/>
          <w:szCs w:val="22"/>
        </w:rPr>
        <w:t xml:space="preserve">Do I need to invest? </w:t>
      </w:r>
    </w:p>
    <w:p w:rsidR="00470F9D" w:rsidRPr="003B0650" w:rsidRDefault="00470F9D" w:rsidP="00470F9D">
      <w:pPr>
        <w:pStyle w:val="Default"/>
        <w:rPr>
          <w:rFonts w:asciiTheme="minorHAnsi" w:hAnsiTheme="minorHAnsi"/>
          <w:color w:val="auto"/>
          <w:sz w:val="22"/>
          <w:szCs w:val="22"/>
        </w:rPr>
      </w:pPr>
    </w:p>
    <w:p w:rsidR="00470F9D" w:rsidRPr="003B0650" w:rsidRDefault="00470F9D" w:rsidP="00470F9D">
      <w:pPr>
        <w:pStyle w:val="Default"/>
        <w:rPr>
          <w:rFonts w:asciiTheme="minorHAnsi" w:hAnsiTheme="minorHAnsi"/>
          <w:color w:val="auto"/>
          <w:sz w:val="22"/>
          <w:szCs w:val="22"/>
          <w:u w:val="single"/>
        </w:rPr>
      </w:pPr>
    </w:p>
    <w:p w:rsidR="00470F9D" w:rsidRPr="003B0650" w:rsidRDefault="00470F9D" w:rsidP="00470F9D">
      <w:pPr>
        <w:pStyle w:val="Default"/>
        <w:rPr>
          <w:rFonts w:asciiTheme="minorHAnsi" w:hAnsiTheme="minorHAnsi"/>
          <w:color w:val="auto"/>
          <w:sz w:val="22"/>
          <w:szCs w:val="22"/>
        </w:rPr>
      </w:pPr>
      <w:r w:rsidRPr="003B0650">
        <w:rPr>
          <w:rFonts w:asciiTheme="minorHAnsi" w:hAnsiTheme="minorHAnsi"/>
          <w:color w:val="auto"/>
          <w:sz w:val="22"/>
          <w:szCs w:val="22"/>
        </w:rPr>
        <w:t xml:space="preserve"> </w:t>
      </w:r>
    </w:p>
    <w:p w:rsidR="00470F9D" w:rsidRDefault="00470F9D" w:rsidP="00470F9D">
      <w:pPr>
        <w:pStyle w:val="Default"/>
        <w:jc w:val="center"/>
        <w:rPr>
          <w:color w:val="auto"/>
        </w:rPr>
      </w:pPr>
    </w:p>
    <w:p w:rsidR="00470F9D" w:rsidRDefault="00470F9D" w:rsidP="00470F9D">
      <w:pPr>
        <w:pStyle w:val="Default"/>
        <w:jc w:val="center"/>
        <w:rPr>
          <w:color w:val="auto"/>
        </w:rPr>
      </w:pPr>
    </w:p>
    <w:p w:rsidR="00850D3A" w:rsidRDefault="00850D3A" w:rsidP="00470F9D">
      <w:pPr>
        <w:pStyle w:val="Default"/>
        <w:spacing w:before="100" w:after="100"/>
        <w:rPr>
          <w:rFonts w:asciiTheme="minorHAnsi" w:eastAsia="Arial Unicode MS" w:hAnsiTheme="minorHAnsi"/>
          <w:b/>
          <w:color w:val="auto"/>
          <w:sz w:val="22"/>
          <w:szCs w:val="22"/>
        </w:rPr>
      </w:pPr>
    </w:p>
    <w:p w:rsidR="00470F9D" w:rsidRDefault="00850D3A" w:rsidP="00470F9D">
      <w:pPr>
        <w:pStyle w:val="Default"/>
        <w:spacing w:before="100" w:after="100"/>
        <w:rPr>
          <w:rFonts w:asciiTheme="minorHAnsi" w:eastAsia="Arial Unicode MS" w:hAnsiTheme="minorHAnsi"/>
          <w:b/>
          <w:color w:val="auto"/>
          <w:sz w:val="22"/>
          <w:szCs w:val="22"/>
        </w:rPr>
      </w:pPr>
      <w:r>
        <w:rPr>
          <w:rFonts w:asciiTheme="minorHAnsi" w:eastAsia="Arial Unicode MS" w:hAnsiTheme="minorHAnsi"/>
          <w:b/>
          <w:color w:val="auto"/>
          <w:sz w:val="22"/>
          <w:szCs w:val="22"/>
        </w:rPr>
        <w:t>METHOD OF EVALUATION:</w:t>
      </w:r>
    </w:p>
    <w:p w:rsidR="00470F9D" w:rsidRPr="004A6B45" w:rsidRDefault="00470F9D" w:rsidP="00470F9D">
      <w:pPr>
        <w:pStyle w:val="Default"/>
        <w:spacing w:before="100" w:after="100"/>
        <w:rPr>
          <w:rFonts w:asciiTheme="minorHAnsi" w:eastAsia="Arial Unicode MS" w:hAnsiTheme="minorHAnsi"/>
          <w:i/>
          <w:color w:val="auto"/>
          <w:sz w:val="22"/>
          <w:szCs w:val="22"/>
        </w:rPr>
      </w:pPr>
      <w:r>
        <w:rPr>
          <w:rFonts w:asciiTheme="minorHAnsi" w:eastAsia="Arial Unicode MS" w:hAnsiTheme="minorHAnsi"/>
          <w:i/>
          <w:color w:val="auto"/>
          <w:sz w:val="22"/>
          <w:szCs w:val="22"/>
        </w:rPr>
        <w:t>Term A</w:t>
      </w:r>
    </w:p>
    <w:p w:rsidR="00470F9D" w:rsidRPr="00D52F34" w:rsidRDefault="00470F9D" w:rsidP="00470F9D">
      <w:pPr>
        <w:pStyle w:val="ListParagraph"/>
        <w:numPr>
          <w:ilvl w:val="0"/>
          <w:numId w:val="9"/>
        </w:numPr>
        <w:spacing w:after="200" w:line="276" w:lineRule="auto"/>
        <w:contextualSpacing/>
        <w:rPr>
          <w:rFonts w:asciiTheme="minorHAnsi" w:hAnsiTheme="minorHAnsi"/>
          <w:sz w:val="22"/>
          <w:szCs w:val="22"/>
        </w:rPr>
      </w:pPr>
      <w:r w:rsidRPr="00D52F34">
        <w:rPr>
          <w:rFonts w:asciiTheme="minorHAnsi" w:hAnsiTheme="minorHAnsi"/>
          <w:sz w:val="22"/>
          <w:szCs w:val="22"/>
        </w:rPr>
        <w:t>(35%) Class attendance and participation</w:t>
      </w:r>
    </w:p>
    <w:p w:rsidR="00470F9D" w:rsidRPr="00D52F34" w:rsidRDefault="00470F9D" w:rsidP="00470F9D">
      <w:pPr>
        <w:pStyle w:val="ListParagraph"/>
        <w:rPr>
          <w:rFonts w:asciiTheme="minorHAnsi" w:hAnsiTheme="minorHAnsi"/>
          <w:sz w:val="22"/>
          <w:szCs w:val="22"/>
        </w:rPr>
      </w:pPr>
    </w:p>
    <w:p w:rsidR="00470F9D" w:rsidRPr="00D52F34" w:rsidRDefault="00470F9D" w:rsidP="00470F9D">
      <w:pPr>
        <w:pStyle w:val="ListParagraph"/>
        <w:numPr>
          <w:ilvl w:val="0"/>
          <w:numId w:val="9"/>
        </w:numPr>
        <w:spacing w:after="200" w:line="276" w:lineRule="auto"/>
        <w:contextualSpacing/>
        <w:rPr>
          <w:rFonts w:asciiTheme="minorHAnsi" w:hAnsiTheme="minorHAnsi"/>
          <w:sz w:val="22"/>
          <w:szCs w:val="22"/>
        </w:rPr>
      </w:pPr>
      <w:r w:rsidRPr="00D52F34">
        <w:rPr>
          <w:rFonts w:asciiTheme="minorHAnsi" w:hAnsiTheme="minorHAnsi"/>
          <w:sz w:val="22"/>
          <w:szCs w:val="22"/>
        </w:rPr>
        <w:t>(30%) Homework assignments – students will submit 3 (three) short papers on 3 (three) cases of their choice.  Each paper will consist of a maximum of 1 (one) page of text and 1 (one) page of exhibits.  This assignment is an exercise on valuing the company featured in the case.</w:t>
      </w:r>
    </w:p>
    <w:p w:rsidR="00470F9D" w:rsidRPr="00D52F34" w:rsidRDefault="00470F9D" w:rsidP="00470F9D">
      <w:pPr>
        <w:pStyle w:val="ListParagraph"/>
        <w:rPr>
          <w:rFonts w:asciiTheme="minorHAnsi" w:hAnsiTheme="minorHAnsi"/>
          <w:sz w:val="22"/>
          <w:szCs w:val="22"/>
        </w:rPr>
      </w:pPr>
    </w:p>
    <w:p w:rsidR="00470F9D" w:rsidRPr="00D52F34" w:rsidRDefault="00470F9D" w:rsidP="00470F9D">
      <w:pPr>
        <w:pStyle w:val="ListParagraph"/>
        <w:numPr>
          <w:ilvl w:val="0"/>
          <w:numId w:val="9"/>
        </w:numPr>
        <w:spacing w:after="200" w:line="276" w:lineRule="auto"/>
        <w:contextualSpacing/>
        <w:rPr>
          <w:rFonts w:asciiTheme="minorHAnsi" w:hAnsiTheme="minorHAnsi"/>
          <w:sz w:val="22"/>
          <w:szCs w:val="22"/>
        </w:rPr>
      </w:pPr>
      <w:r w:rsidRPr="00D52F34">
        <w:rPr>
          <w:rFonts w:asciiTheme="minorHAnsi" w:hAnsiTheme="minorHAnsi"/>
          <w:sz w:val="22"/>
          <w:szCs w:val="22"/>
        </w:rPr>
        <w:t xml:space="preserve">(35%) Mandatory final project – students will </w:t>
      </w:r>
      <w:proofErr w:type="spellStart"/>
      <w:r w:rsidRPr="00D52F34">
        <w:rPr>
          <w:rFonts w:asciiTheme="minorHAnsi" w:hAnsiTheme="minorHAnsi"/>
          <w:sz w:val="22"/>
          <w:szCs w:val="22"/>
        </w:rPr>
        <w:t>self select</w:t>
      </w:r>
      <w:proofErr w:type="spellEnd"/>
      <w:r w:rsidRPr="00D52F34">
        <w:rPr>
          <w:rFonts w:asciiTheme="minorHAnsi" w:hAnsiTheme="minorHAnsi"/>
          <w:sz w:val="22"/>
          <w:szCs w:val="22"/>
        </w:rPr>
        <w:t xml:space="preserve"> into groups of 4 (four) students.  Each group will submit 1 (one) final project, a company valuation.  The final project will consist of a maximum of 5 (five) pages of text and 5 (five) pages of exhibits from a list of </w:t>
      </w:r>
      <w:r>
        <w:rPr>
          <w:rFonts w:asciiTheme="minorHAnsi" w:hAnsiTheme="minorHAnsi"/>
          <w:sz w:val="22"/>
          <w:szCs w:val="22"/>
        </w:rPr>
        <w:t xml:space="preserve">about </w:t>
      </w:r>
      <w:r w:rsidRPr="00D52F34">
        <w:rPr>
          <w:rFonts w:asciiTheme="minorHAnsi" w:hAnsiTheme="minorHAnsi"/>
          <w:sz w:val="22"/>
          <w:szCs w:val="22"/>
        </w:rPr>
        <w:t>30 companies provided by the professors. Different groups can select the same company.  All final projects will be submitted as candidates for the Sonkin Prize.</w:t>
      </w:r>
    </w:p>
    <w:p w:rsidR="00470F9D" w:rsidRPr="00D52F34" w:rsidRDefault="00470F9D" w:rsidP="00470F9D">
      <w:pPr>
        <w:pStyle w:val="ListParagraph"/>
        <w:rPr>
          <w:rFonts w:asciiTheme="minorHAnsi" w:hAnsiTheme="minorHAnsi"/>
          <w:sz w:val="22"/>
          <w:szCs w:val="22"/>
        </w:rPr>
      </w:pPr>
    </w:p>
    <w:p w:rsidR="00470F9D" w:rsidRDefault="00470F9D" w:rsidP="00470F9D">
      <w:pPr>
        <w:rPr>
          <w:rFonts w:asciiTheme="minorHAnsi" w:hAnsiTheme="minorHAnsi"/>
          <w:sz w:val="22"/>
          <w:szCs w:val="22"/>
        </w:rPr>
      </w:pPr>
      <w:r w:rsidRPr="00D52F34">
        <w:rPr>
          <w:rFonts w:asciiTheme="minorHAnsi" w:hAnsiTheme="minorHAnsi"/>
          <w:i/>
          <w:sz w:val="22"/>
          <w:szCs w:val="22"/>
        </w:rPr>
        <w:t xml:space="preserve">Term </w:t>
      </w:r>
      <w:proofErr w:type="gramStart"/>
      <w:r w:rsidRPr="00D52F34">
        <w:rPr>
          <w:rFonts w:asciiTheme="minorHAnsi" w:hAnsiTheme="minorHAnsi"/>
          <w:i/>
          <w:sz w:val="22"/>
          <w:szCs w:val="22"/>
        </w:rPr>
        <w:t>B</w:t>
      </w:r>
      <w:r w:rsidRPr="00D52F34">
        <w:rPr>
          <w:rFonts w:asciiTheme="minorHAnsi" w:hAnsiTheme="minorHAnsi"/>
          <w:sz w:val="22"/>
          <w:szCs w:val="22"/>
        </w:rPr>
        <w:t xml:space="preserve"> </w:t>
      </w:r>
      <w:r>
        <w:rPr>
          <w:rFonts w:asciiTheme="minorHAnsi" w:hAnsiTheme="minorHAnsi"/>
          <w:sz w:val="22"/>
          <w:szCs w:val="22"/>
        </w:rPr>
        <w:t xml:space="preserve"> </w:t>
      </w:r>
      <w:r w:rsidRPr="00D52F34">
        <w:rPr>
          <w:rFonts w:asciiTheme="minorHAnsi" w:hAnsiTheme="minorHAnsi"/>
          <w:i/>
          <w:sz w:val="22"/>
          <w:szCs w:val="22"/>
        </w:rPr>
        <w:t>(</w:t>
      </w:r>
      <w:proofErr w:type="gramEnd"/>
      <w:r w:rsidRPr="00D52F34">
        <w:rPr>
          <w:rFonts w:asciiTheme="minorHAnsi" w:hAnsiTheme="minorHAnsi"/>
          <w:i/>
          <w:sz w:val="22"/>
          <w:szCs w:val="22"/>
        </w:rPr>
        <w:t>Legends)</w:t>
      </w:r>
    </w:p>
    <w:p w:rsidR="00470F9D" w:rsidRPr="00D52F34" w:rsidRDefault="00470F9D" w:rsidP="00470F9D">
      <w:pPr>
        <w:rPr>
          <w:rFonts w:asciiTheme="minorHAnsi" w:hAnsiTheme="minorHAnsi"/>
          <w:sz w:val="22"/>
          <w:szCs w:val="22"/>
        </w:rPr>
      </w:pPr>
    </w:p>
    <w:p w:rsidR="00470F9D" w:rsidRDefault="00470F9D" w:rsidP="00470F9D">
      <w:pPr>
        <w:pStyle w:val="ListParagraph"/>
        <w:numPr>
          <w:ilvl w:val="0"/>
          <w:numId w:val="10"/>
        </w:numPr>
        <w:spacing w:after="200" w:line="276" w:lineRule="auto"/>
        <w:contextualSpacing/>
        <w:rPr>
          <w:rFonts w:asciiTheme="minorHAnsi" w:hAnsiTheme="minorHAnsi"/>
          <w:sz w:val="22"/>
          <w:szCs w:val="22"/>
        </w:rPr>
      </w:pPr>
      <w:r w:rsidRPr="00D52F34">
        <w:rPr>
          <w:rFonts w:asciiTheme="minorHAnsi" w:hAnsiTheme="minorHAnsi"/>
          <w:sz w:val="22"/>
          <w:szCs w:val="22"/>
        </w:rPr>
        <w:t>(50%) Class attendance and participation</w:t>
      </w:r>
    </w:p>
    <w:p w:rsidR="00470F9D" w:rsidRPr="00D52F34" w:rsidRDefault="00470F9D" w:rsidP="00470F9D">
      <w:pPr>
        <w:pStyle w:val="ListParagraph"/>
        <w:spacing w:after="200" w:line="276" w:lineRule="auto"/>
        <w:contextualSpacing/>
        <w:rPr>
          <w:rFonts w:asciiTheme="minorHAnsi" w:hAnsiTheme="minorHAnsi"/>
          <w:sz w:val="22"/>
          <w:szCs w:val="22"/>
        </w:rPr>
      </w:pPr>
    </w:p>
    <w:p w:rsidR="00470F9D" w:rsidRPr="00D52F34" w:rsidRDefault="00470F9D" w:rsidP="00470F9D">
      <w:pPr>
        <w:pStyle w:val="ListParagraph"/>
        <w:numPr>
          <w:ilvl w:val="0"/>
          <w:numId w:val="10"/>
        </w:numPr>
        <w:spacing w:after="200" w:line="276" w:lineRule="auto"/>
        <w:contextualSpacing/>
        <w:rPr>
          <w:rFonts w:asciiTheme="minorHAnsi" w:hAnsiTheme="minorHAnsi"/>
          <w:sz w:val="22"/>
          <w:szCs w:val="22"/>
        </w:rPr>
      </w:pPr>
      <w:r w:rsidRPr="00D52F34">
        <w:rPr>
          <w:rFonts w:asciiTheme="minorHAnsi" w:hAnsiTheme="minorHAnsi"/>
          <w:sz w:val="22"/>
          <w:szCs w:val="22"/>
        </w:rPr>
        <w:t>(50%) For at least 8 of the 12 Speakers, submit a 1 page written summary of reading materials provided by the speaker and a list of 3-5 relevant questions for the Speaker. These must be submitted by 8pm the evening prior to the Speaker or they will not be considered for credit.</w:t>
      </w:r>
    </w:p>
    <w:p w:rsidR="00470F9D" w:rsidRPr="004A6B45" w:rsidRDefault="00470F9D" w:rsidP="00470F9D">
      <w:pPr>
        <w:rPr>
          <w:rFonts w:asciiTheme="minorHAnsi" w:hAnsiTheme="minorHAnsi"/>
          <w:b/>
          <w:sz w:val="22"/>
          <w:szCs w:val="22"/>
        </w:rPr>
      </w:pPr>
      <w:r w:rsidRPr="004A6B45">
        <w:rPr>
          <w:rFonts w:asciiTheme="minorHAnsi" w:hAnsiTheme="minorHAnsi"/>
          <w:b/>
          <w:sz w:val="22"/>
          <w:szCs w:val="22"/>
        </w:rPr>
        <w:t>CLASSROOM NORMS AND EXPECTATIONS</w:t>
      </w:r>
    </w:p>
    <w:p w:rsidR="00470F9D" w:rsidRPr="004A6B45" w:rsidRDefault="00470F9D" w:rsidP="00470F9D">
      <w:pPr>
        <w:rPr>
          <w:rFonts w:asciiTheme="minorHAnsi" w:hAnsiTheme="minorHAnsi"/>
          <w:sz w:val="22"/>
          <w:szCs w:val="22"/>
        </w:rPr>
      </w:pPr>
      <w:r w:rsidRPr="004A6B45">
        <w:rPr>
          <w:rFonts w:asciiTheme="minorHAnsi" w:hAnsiTheme="minorHAnsi"/>
          <w:b/>
          <w:i/>
          <w:sz w:val="22"/>
          <w:szCs w:val="22"/>
        </w:rPr>
        <w:t>Class Participation:</w:t>
      </w:r>
      <w:r w:rsidRPr="004A6B45">
        <w:rPr>
          <w:rFonts w:asciiTheme="minorHAnsi" w:hAnsiTheme="minorHAnsi"/>
          <w:sz w:val="22"/>
          <w:szCs w:val="22"/>
        </w:rPr>
        <w:t xml:space="preserve"> </w:t>
      </w:r>
      <w:r w:rsidRPr="004A6B45">
        <w:rPr>
          <w:rFonts w:asciiTheme="minorHAnsi" w:hAnsiTheme="minorHAnsi"/>
          <w:sz w:val="22"/>
          <w:szCs w:val="22"/>
        </w:rPr>
        <w:br/>
        <w:t>Preparation, Discussion, Organization</w:t>
      </w:r>
    </w:p>
    <w:p w:rsidR="00470F9D" w:rsidRPr="004A6B45" w:rsidRDefault="00470F9D" w:rsidP="00470F9D">
      <w:pPr>
        <w:rPr>
          <w:rFonts w:asciiTheme="minorHAnsi" w:hAnsiTheme="minorHAnsi"/>
          <w:sz w:val="22"/>
          <w:szCs w:val="22"/>
        </w:rPr>
      </w:pPr>
    </w:p>
    <w:p w:rsidR="00470F9D" w:rsidRPr="004A6B45" w:rsidRDefault="00470F9D" w:rsidP="00470F9D">
      <w:pPr>
        <w:rPr>
          <w:rFonts w:asciiTheme="minorHAnsi" w:hAnsiTheme="minorHAnsi"/>
          <w:sz w:val="22"/>
          <w:szCs w:val="22"/>
        </w:rPr>
      </w:pPr>
      <w:r w:rsidRPr="004A6B45">
        <w:rPr>
          <w:rFonts w:asciiTheme="minorHAnsi" w:hAnsiTheme="minorHAnsi"/>
          <w:b/>
          <w:i/>
          <w:sz w:val="22"/>
          <w:szCs w:val="22"/>
        </w:rPr>
        <w:t>Guest Speakers:</w:t>
      </w:r>
      <w:r w:rsidRPr="004A6B45">
        <w:rPr>
          <w:rFonts w:asciiTheme="minorHAnsi" w:hAnsiTheme="minorHAnsi"/>
          <w:sz w:val="22"/>
          <w:szCs w:val="22"/>
        </w:rPr>
        <w:t xml:space="preserve"> </w:t>
      </w:r>
      <w:r w:rsidRPr="004A6B45">
        <w:rPr>
          <w:rFonts w:asciiTheme="minorHAnsi" w:hAnsiTheme="minorHAnsi"/>
          <w:sz w:val="22"/>
          <w:szCs w:val="22"/>
        </w:rPr>
        <w:br/>
        <w:t>This course will involve high profile guest lecturers; class participation will be crucial to the success of the course.</w:t>
      </w:r>
    </w:p>
    <w:p w:rsidR="00470F9D" w:rsidRPr="004A6B45" w:rsidRDefault="00470F9D" w:rsidP="00470F9D">
      <w:pPr>
        <w:tabs>
          <w:tab w:val="left" w:pos="1552"/>
        </w:tabs>
      </w:pPr>
    </w:p>
    <w:p w:rsidR="00470F9D" w:rsidRDefault="00470F9D" w:rsidP="00470F9D">
      <w:pPr>
        <w:pStyle w:val="Default"/>
        <w:jc w:val="center"/>
        <w:rPr>
          <w:color w:val="auto"/>
        </w:rPr>
      </w:pPr>
    </w:p>
    <w:p w:rsidR="00470F9D" w:rsidRPr="004A6B45" w:rsidRDefault="00470F9D" w:rsidP="00470F9D"/>
    <w:p w:rsidR="00470F9D" w:rsidRPr="00470F9D" w:rsidRDefault="00470F9D" w:rsidP="00470F9D">
      <w:pPr>
        <w:pStyle w:val="Default"/>
        <w:spacing w:before="100" w:after="100"/>
        <w:rPr>
          <w:rFonts w:asciiTheme="minorHAnsi" w:eastAsia="Arial Unicode MS" w:hAnsiTheme="minorHAnsi"/>
          <w:b/>
          <w:color w:val="auto"/>
          <w:sz w:val="22"/>
          <w:szCs w:val="22"/>
        </w:rPr>
      </w:pPr>
    </w:p>
    <w:sectPr w:rsidR="00470F9D" w:rsidRPr="00470F9D" w:rsidSect="00FC3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7318"/>
    <w:multiLevelType w:val="hybridMultilevel"/>
    <w:tmpl w:val="71BE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3808B3"/>
    <w:multiLevelType w:val="hybridMultilevel"/>
    <w:tmpl w:val="D2A4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A86802"/>
    <w:multiLevelType w:val="hybridMultilevel"/>
    <w:tmpl w:val="E6AC0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4F5484"/>
    <w:multiLevelType w:val="hybridMultilevel"/>
    <w:tmpl w:val="52B43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1039DD"/>
    <w:multiLevelType w:val="hybridMultilevel"/>
    <w:tmpl w:val="66E01AF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F26A18"/>
    <w:multiLevelType w:val="hybridMultilevel"/>
    <w:tmpl w:val="0B9242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E0D1A2C"/>
    <w:multiLevelType w:val="hybridMultilevel"/>
    <w:tmpl w:val="B9D6C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8"/>
  </w:num>
  <w:num w:numId="7">
    <w:abstractNumId w:val="9"/>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9D"/>
    <w:rsid w:val="00294DFC"/>
    <w:rsid w:val="003029B4"/>
    <w:rsid w:val="00470F9D"/>
    <w:rsid w:val="004D1AFC"/>
    <w:rsid w:val="004D1C9A"/>
    <w:rsid w:val="005A22F6"/>
    <w:rsid w:val="0074380D"/>
    <w:rsid w:val="00850D3A"/>
    <w:rsid w:val="00C779F7"/>
    <w:rsid w:val="00FC3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F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0F9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rsid w:val="00470F9D"/>
    <w:rPr>
      <w:color w:val="0000FF"/>
      <w:u w:val="single"/>
    </w:rPr>
  </w:style>
  <w:style w:type="paragraph" w:styleId="ListParagraph">
    <w:name w:val="List Paragraph"/>
    <w:basedOn w:val="Normal"/>
    <w:uiPriority w:val="34"/>
    <w:qFormat/>
    <w:rsid w:val="00470F9D"/>
    <w:pPr>
      <w:ind w:left="720"/>
    </w:pPr>
  </w:style>
  <w:style w:type="table" w:styleId="TableGrid">
    <w:name w:val="Table Grid"/>
    <w:basedOn w:val="TableNormal"/>
    <w:uiPriority w:val="59"/>
    <w:rsid w:val="00470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F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0F9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rsid w:val="00470F9D"/>
    <w:rPr>
      <w:color w:val="0000FF"/>
      <w:u w:val="single"/>
    </w:rPr>
  </w:style>
  <w:style w:type="paragraph" w:styleId="ListParagraph">
    <w:name w:val="List Paragraph"/>
    <w:basedOn w:val="Normal"/>
    <w:uiPriority w:val="34"/>
    <w:qFormat/>
    <w:rsid w:val="00470F9D"/>
    <w:pPr>
      <w:ind w:left="720"/>
    </w:pPr>
  </w:style>
  <w:style w:type="table" w:styleId="TableGrid">
    <w:name w:val="Table Grid"/>
    <w:basedOn w:val="TableNormal"/>
    <w:uiPriority w:val="59"/>
    <w:rsid w:val="00470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758942">
      <w:bodyDiv w:val="1"/>
      <w:marLeft w:val="0"/>
      <w:marRight w:val="0"/>
      <w:marTop w:val="0"/>
      <w:marBottom w:val="0"/>
      <w:divBdr>
        <w:top w:val="none" w:sz="0" w:space="0" w:color="auto"/>
        <w:left w:val="none" w:sz="0" w:space="0" w:color="auto"/>
        <w:bottom w:val="none" w:sz="0" w:space="0" w:color="auto"/>
        <w:right w:val="none" w:sz="0" w:space="0" w:color="auto"/>
      </w:divBdr>
    </w:div>
    <w:div w:id="1380203528">
      <w:bodyDiv w:val="1"/>
      <w:marLeft w:val="0"/>
      <w:marRight w:val="0"/>
      <w:marTop w:val="0"/>
      <w:marBottom w:val="0"/>
      <w:divBdr>
        <w:top w:val="none" w:sz="0" w:space="0" w:color="auto"/>
        <w:left w:val="none" w:sz="0" w:space="0" w:color="auto"/>
        <w:bottom w:val="none" w:sz="0" w:space="0" w:color="auto"/>
        <w:right w:val="none" w:sz="0" w:space="0" w:color="auto"/>
      </w:divBdr>
    </w:div>
    <w:div w:id="203098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Bruce-C.-N.-Greenwald/e/B001ITY97W/ref=sr_ntt_srch_lnk_1?qid=1327371806&amp;sr=1-1" TargetMode="External"/><Relationship Id="rId3" Type="http://schemas.microsoft.com/office/2007/relationships/stylesWithEffects" Target="stylesWithEffects.xml"/><Relationship Id="rId7" Type="http://schemas.openxmlformats.org/officeDocument/2006/relationships/hyperlink" Target="http://www.amazon.com/Value-Investing-Graham-Buffett-Finance/dp/0471463396/ref=sr_1_1?s=books&amp;ie=UTF8&amp;qid=1327371806&amp;sr=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1786@columbia.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 Marci</dc:creator>
  <cp:lastModifiedBy>Hussey, Ashleigh</cp:lastModifiedBy>
  <cp:revision>4</cp:revision>
  <dcterms:created xsi:type="dcterms:W3CDTF">2014-11-10T19:16:00Z</dcterms:created>
  <dcterms:modified xsi:type="dcterms:W3CDTF">2014-11-10T19:51:00Z</dcterms:modified>
</cp:coreProperties>
</file>